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D365" w14:textId="7FDA0A34" w:rsidR="00B255CC" w:rsidRDefault="009C79F9" w:rsidP="00BD2814">
      <w:pPr>
        <w:spacing w:before="360"/>
        <w:jc w:val="center"/>
        <w:rPr>
          <w:rFonts w:asciiTheme="minorHAnsi" w:hAnsiTheme="minorHAnsi" w:cstheme="minorHAnsi"/>
          <w:sz w:val="32"/>
          <w:szCs w:val="24"/>
        </w:rPr>
      </w:pPr>
      <w:r>
        <w:rPr>
          <w:rFonts w:asciiTheme="minorHAnsi" w:hAnsiTheme="minorHAnsi" w:cstheme="minorHAnsi"/>
          <w:sz w:val="32"/>
          <w:szCs w:val="24"/>
        </w:rPr>
        <w:t xml:space="preserve">Staff Overview: Significant Revisions to Proposed Rule Text for </w:t>
      </w:r>
      <w:r w:rsidR="00C008D9">
        <w:rPr>
          <w:rFonts w:asciiTheme="minorHAnsi" w:hAnsiTheme="minorHAnsi" w:cstheme="minorHAnsi"/>
          <w:sz w:val="32"/>
          <w:szCs w:val="24"/>
        </w:rPr>
        <w:t xml:space="preserve">Public Agency and </w:t>
      </w:r>
      <w:r w:rsidR="008C1086">
        <w:rPr>
          <w:rFonts w:asciiTheme="minorHAnsi" w:hAnsiTheme="minorHAnsi" w:cstheme="minorHAnsi"/>
          <w:sz w:val="32"/>
          <w:szCs w:val="24"/>
        </w:rPr>
        <w:t>Utility Right of Way Maintenance Exemption</w:t>
      </w:r>
    </w:p>
    <w:p w14:paraId="534F4CB8" w14:textId="51DBAA14" w:rsidR="008C1086" w:rsidRDefault="002A7846" w:rsidP="0031464F">
      <w:pPr>
        <w:pStyle w:val="Heading1"/>
        <w:numPr>
          <w:ilvl w:val="0"/>
          <w:numId w:val="27"/>
        </w:numPr>
      </w:pPr>
      <w:r>
        <w:t>Overview</w:t>
      </w:r>
    </w:p>
    <w:p w14:paraId="403A38A0" w14:textId="77777777" w:rsidR="002A7846" w:rsidRDefault="002A7846" w:rsidP="002A7846"/>
    <w:p w14:paraId="2D774C1C" w14:textId="211C0531" w:rsidR="009C79F9" w:rsidRDefault="009C79F9" w:rsidP="002A7846">
      <w:r>
        <w:t>At the May meeting, the Board’s Management Committee de</w:t>
      </w:r>
      <w:r w:rsidR="00C90723">
        <w:t>ferred initiati</w:t>
      </w:r>
      <w:r w:rsidR="001B3A62">
        <w:t xml:space="preserve">on of the formal rulemaking process for the public agency and utility right of way exemption amendments in favor of </w:t>
      </w:r>
      <w:r>
        <w:t>continu</w:t>
      </w:r>
      <w:r w:rsidR="001B3A62">
        <w:t xml:space="preserve">ing to </w:t>
      </w:r>
      <w:r>
        <w:t>work on the proposed rule</w:t>
      </w:r>
      <w:r w:rsidR="001B3A62">
        <w:t xml:space="preserve"> text </w:t>
      </w:r>
      <w:r>
        <w:t xml:space="preserve">via the informal scoping process. As such, </w:t>
      </w:r>
      <w:r w:rsidR="001B3A62">
        <w:t xml:space="preserve">certain procedural deadlines have been relaxed and </w:t>
      </w:r>
      <w:r>
        <w:t>the proposed rulemaking will take effect no earlier than January 1, 2026.</w:t>
      </w:r>
    </w:p>
    <w:p w14:paraId="0BC6BD14" w14:textId="77777777" w:rsidR="006B1378" w:rsidRDefault="006B1378" w:rsidP="002A7846"/>
    <w:p w14:paraId="78D54A54" w14:textId="4243691C" w:rsidR="005A3438" w:rsidRDefault="00AC10B7" w:rsidP="002A7846">
      <w:r>
        <w:t>By d</w:t>
      </w:r>
      <w:r w:rsidR="00EA089A">
        <w:t xml:space="preserve">eferring </w:t>
      </w:r>
      <w:r w:rsidR="001B3A62">
        <w:t xml:space="preserve">the </w:t>
      </w:r>
      <w:r w:rsidR="00EA089A">
        <w:t xml:space="preserve">formal rulemaking </w:t>
      </w:r>
      <w:r w:rsidR="001B3A62">
        <w:t>process</w:t>
      </w:r>
      <w:r w:rsidR="00EA089A">
        <w:t xml:space="preserve"> until next year</w:t>
      </w:r>
      <w:r>
        <w:t xml:space="preserve">, the Management Committee provided </w:t>
      </w:r>
      <w:r w:rsidR="00EA089A">
        <w:t>Board staff</w:t>
      </w:r>
      <w:r>
        <w:t xml:space="preserve"> with a timely opportunity to reevaluate the proposed rule text in its entirety for both substantive and organizational improvements prior to the July meeting.</w:t>
      </w:r>
      <w:r w:rsidR="006B1378">
        <w:t xml:space="preserve"> The Management Committee directed staff to publish the revised rule text several weeks in advance of the July meeting to provide stakeholders with ample time to review the revised rule text and</w:t>
      </w:r>
      <w:r w:rsidR="00FB1156">
        <w:t xml:space="preserve"> to </w:t>
      </w:r>
      <w:r w:rsidR="006B1378">
        <w:t>provide comments and specific recommended edits prior to that meeting.</w:t>
      </w:r>
    </w:p>
    <w:p w14:paraId="4B5B4D67" w14:textId="77777777" w:rsidR="005A3438" w:rsidRDefault="005A3438" w:rsidP="002A7846"/>
    <w:p w14:paraId="7E188C3D" w14:textId="49687BD8" w:rsidR="00394E82" w:rsidRDefault="005A3438" w:rsidP="002A7846">
      <w:r>
        <w:t xml:space="preserve">In addition to specific revisions discussed at the May meeting, the proposed rule text also reflects </w:t>
      </w:r>
      <w:r w:rsidR="004A46D6">
        <w:t>a few</w:t>
      </w:r>
      <w:r>
        <w:t xml:space="preserve"> organizational revisions that improve the structure and clarity of the proposal. As a result,</w:t>
      </w:r>
      <w:r w:rsidR="00F829B1">
        <w:t xml:space="preserve"> Board staff</w:t>
      </w:r>
      <w:r w:rsidR="001B3A62">
        <w:t>’s</w:t>
      </w:r>
      <w:r w:rsidR="00F829B1">
        <w:t xml:space="preserve"> </w:t>
      </w:r>
      <w:r>
        <w:t xml:space="preserve">customary practice of identifying all changes to the prior draft in </w:t>
      </w:r>
      <w:r w:rsidRPr="005A3438">
        <w:rPr>
          <w:strike/>
        </w:rPr>
        <w:t>strikeout</w:t>
      </w:r>
      <w:r>
        <w:t xml:space="preserve"> and </w:t>
      </w:r>
      <w:r w:rsidRPr="005A3438">
        <w:rPr>
          <w:u w:val="single"/>
        </w:rPr>
        <w:t>underline</w:t>
      </w:r>
      <w:r>
        <w:t xml:space="preserve"> and using a different </w:t>
      </w:r>
      <w:r w:rsidRPr="005A3438">
        <w:rPr>
          <w:color w:val="00B0F0"/>
        </w:rPr>
        <w:t>color font</w:t>
      </w:r>
      <w:r w:rsidR="001B3A62">
        <w:t xml:space="preserve"> was deemed impracticable.</w:t>
      </w:r>
      <w:r w:rsidR="00F829B1">
        <w:t xml:space="preserve"> Such an approach was likely to foster confusion due to the amount of text being relocated within the draft – i.e. that some items in strikeout would appear to be removed </w:t>
      </w:r>
      <w:r w:rsidR="006B1378">
        <w:t xml:space="preserve">from </w:t>
      </w:r>
      <w:r w:rsidR="00F829B1">
        <w:t>the proposed rule</w:t>
      </w:r>
      <w:r w:rsidR="006B1378">
        <w:t xml:space="preserve"> text </w:t>
      </w:r>
      <w:r w:rsidR="00F829B1">
        <w:t xml:space="preserve">entirely when they have simply been moved to another area of the draft and/or that some items in underline would </w:t>
      </w:r>
      <w:r w:rsidR="00394E82">
        <w:t xml:space="preserve">incorrectly </w:t>
      </w:r>
      <w:r w:rsidR="00F829B1">
        <w:t xml:space="preserve">appear to be new language </w:t>
      </w:r>
      <w:r w:rsidR="00394E82">
        <w:t>despite having been part of the proposed rulemaking for some time.</w:t>
      </w:r>
    </w:p>
    <w:p w14:paraId="517B91CF" w14:textId="77777777" w:rsidR="00394E82" w:rsidRDefault="00394E82" w:rsidP="002A7846"/>
    <w:p w14:paraId="49B53C23" w14:textId="0504C207" w:rsidR="00A24DDC" w:rsidRDefault="00394E82" w:rsidP="002A7846">
      <w:r>
        <w:t xml:space="preserve">As a result, </w:t>
      </w:r>
      <w:r w:rsidR="001B3A62">
        <w:t xml:space="preserve">stakeholders should evaluate </w:t>
      </w:r>
      <w:r>
        <w:t xml:space="preserve">the draft being offered for consideration at the July meeting </w:t>
      </w:r>
      <w:r w:rsidR="001B3A62">
        <w:t>a</w:t>
      </w:r>
      <w:r w:rsidR="00A24DDC">
        <w:t xml:space="preserve">s </w:t>
      </w:r>
      <w:r w:rsidR="001B3A62">
        <w:t xml:space="preserve">if it is </w:t>
      </w:r>
      <w:r w:rsidR="00A24DDC">
        <w:t xml:space="preserve">an initial draft being proposed for the first time. The </w:t>
      </w:r>
      <w:r w:rsidR="00A24DDC" w:rsidRPr="0030140E">
        <w:rPr>
          <w:strike/>
        </w:rPr>
        <w:t>strikeout</w:t>
      </w:r>
      <w:r w:rsidR="0030140E" w:rsidRPr="0030140E">
        <w:rPr>
          <w:strike/>
        </w:rPr>
        <w:t>s</w:t>
      </w:r>
      <w:r w:rsidR="00A24DDC">
        <w:t xml:space="preserve"> and </w:t>
      </w:r>
      <w:r w:rsidR="00A24DDC" w:rsidRPr="0030140E">
        <w:rPr>
          <w:u w:val="single"/>
        </w:rPr>
        <w:t>underline</w:t>
      </w:r>
      <w:r w:rsidR="0030140E" w:rsidRPr="0030140E">
        <w:rPr>
          <w:u w:val="single"/>
        </w:rPr>
        <w:t>s</w:t>
      </w:r>
      <w:r w:rsidR="00A24DDC">
        <w:t xml:space="preserve"> in this draft </w:t>
      </w:r>
      <w:r w:rsidR="0030140E">
        <w:t>are</w:t>
      </w:r>
      <w:r w:rsidR="00A24DDC">
        <w:t xml:space="preserve"> limited to changes to </w:t>
      </w:r>
      <w:r w:rsidR="006B1378">
        <w:t xml:space="preserve">the </w:t>
      </w:r>
      <w:r w:rsidR="00A24DDC">
        <w:t>existing regulations</w:t>
      </w:r>
      <w:r w:rsidR="006B1378">
        <w:t xml:space="preserve"> and appear </w:t>
      </w:r>
      <w:r w:rsidR="0030140E">
        <w:t xml:space="preserve">exclusively in red font. However, </w:t>
      </w:r>
      <w:r w:rsidR="004A46D6">
        <w:t>to</w:t>
      </w:r>
      <w:r w:rsidR="0030140E">
        <w:t xml:space="preserve"> aid Board members and stakeholders in reviewing the document, s</w:t>
      </w:r>
      <w:r w:rsidR="00A24DDC">
        <w:t xml:space="preserve">ignificant changes made since the last meeting are </w:t>
      </w:r>
      <w:r w:rsidR="006B1378">
        <w:t>s</w:t>
      </w:r>
      <w:r w:rsidR="00A24DDC">
        <w:t>ummarized in this document.</w:t>
      </w:r>
      <w:r w:rsidR="00F04FA3">
        <w:rPr>
          <w:rStyle w:val="FootnoteReference"/>
        </w:rPr>
        <w:footnoteReference w:id="1"/>
      </w:r>
      <w:r w:rsidR="00A24DDC">
        <w:t xml:space="preserve"> </w:t>
      </w:r>
    </w:p>
    <w:p w14:paraId="13F64991" w14:textId="77777777" w:rsidR="00A24DDC" w:rsidRDefault="00A24DDC" w:rsidP="002A7846"/>
    <w:p w14:paraId="029F7C28" w14:textId="3D91F3A5" w:rsidR="009C79F9" w:rsidRDefault="00A24DDC" w:rsidP="002A7846">
      <w:r>
        <w:lastRenderedPageBreak/>
        <w:t xml:space="preserve">Board staff respectfully request that stakeholder comments and specific substantive edits be submitted by July </w:t>
      </w:r>
      <w:r w:rsidR="006B1378">
        <w:t>12</w:t>
      </w:r>
      <w:r>
        <w:t xml:space="preserve">, so that Board members and staff will have appropriate time to review, evaluate, and offer recommendations regarding comments and proposed revisions. </w:t>
      </w:r>
      <w:r w:rsidR="00F829B1">
        <w:t xml:space="preserve"> </w:t>
      </w:r>
      <w:r w:rsidR="005A3438">
        <w:t xml:space="preserve"> </w:t>
      </w:r>
      <w:r w:rsidR="00AC10B7">
        <w:t xml:space="preserve">   </w:t>
      </w:r>
    </w:p>
    <w:p w14:paraId="68BAFEDC" w14:textId="170430D0" w:rsidR="00CD4A4C" w:rsidRDefault="00A24DDC" w:rsidP="0031464F">
      <w:pPr>
        <w:pStyle w:val="Heading1"/>
        <w:numPr>
          <w:ilvl w:val="0"/>
          <w:numId w:val="27"/>
        </w:numPr>
      </w:pPr>
      <w:r>
        <w:t>Summary of Revisions</w:t>
      </w:r>
    </w:p>
    <w:p w14:paraId="1A5093B0" w14:textId="77777777" w:rsidR="00A24DDC" w:rsidRDefault="00A24DDC" w:rsidP="00A24DDC"/>
    <w:p w14:paraId="1EAFCC94" w14:textId="5BC6825A" w:rsidR="00A24DDC" w:rsidRDefault="00A24DDC" w:rsidP="00A24DDC">
      <w:r>
        <w:t xml:space="preserve">The following represents a summary of significant </w:t>
      </w:r>
      <w:r w:rsidR="001B3A62">
        <w:t xml:space="preserve">organizational and substantive revisions made to the rule text since the </w:t>
      </w:r>
      <w:r>
        <w:t>May meeting.</w:t>
      </w:r>
    </w:p>
    <w:p w14:paraId="1A6369BB" w14:textId="71A33EDE" w:rsidR="00A24DDC" w:rsidRPr="00A24DDC" w:rsidRDefault="00A24DDC" w:rsidP="00A24DDC">
      <w:r>
        <w:t xml:space="preserve"> </w:t>
      </w:r>
    </w:p>
    <w:p w14:paraId="13BC9C1C" w14:textId="406D46C4" w:rsidR="00A24DDC" w:rsidRDefault="0030140E" w:rsidP="00A24DDC">
      <w:pPr>
        <w:pStyle w:val="Heading2"/>
        <w:numPr>
          <w:ilvl w:val="0"/>
          <w:numId w:val="28"/>
        </w:numPr>
      </w:pPr>
      <w:r>
        <w:t>Organizational separation of the utility and public agency exemptions</w:t>
      </w:r>
    </w:p>
    <w:p w14:paraId="3C1E2E1B" w14:textId="77777777" w:rsidR="0030140E" w:rsidRDefault="0030140E" w:rsidP="0030140E"/>
    <w:p w14:paraId="3A9064A3" w14:textId="7B58D239" w:rsidR="007A3BE8" w:rsidRDefault="0030140E" w:rsidP="0030140E">
      <w:r>
        <w:t xml:space="preserve">Due to differences in the scope and purpose of the statutory exemptions for utility and public agency right-of-way operations, 14 CCR §1114 (as proposed in preceding drafts) has evolved </w:t>
      </w:r>
      <w:r w:rsidR="001B3A62">
        <w:t xml:space="preserve">such that it </w:t>
      </w:r>
      <w:r>
        <w:t>impose</w:t>
      </w:r>
      <w:r w:rsidR="001B3A62">
        <w:t>s</w:t>
      </w:r>
      <w:r>
        <w:t xml:space="preserve"> different requirements on those respective exemptions. Confusion about which requirements apply in which circumstances has been a consistent criticism of the draft.</w:t>
      </w:r>
      <w:r w:rsidR="007A3BE8">
        <w:t xml:space="preserve"> </w:t>
      </w:r>
    </w:p>
    <w:p w14:paraId="2F762F5B" w14:textId="77777777" w:rsidR="007A3BE8" w:rsidRDefault="007A3BE8" w:rsidP="0030140E"/>
    <w:p w14:paraId="5594BA81" w14:textId="002E5EA4" w:rsidR="007A3BE8" w:rsidRDefault="007A3BE8" w:rsidP="0030140E">
      <w:r>
        <w:t>To address these concerns, Board staff have fully separated the utility and public agency exemptions into entirely different code sections. This represents the most significant organizational change to the draft. Under the proposed draft, the less-than-three-acre conversion exemption remains in</w:t>
      </w:r>
      <w:r w:rsidR="001B3A62">
        <w:t xml:space="preserve"> existing </w:t>
      </w:r>
      <w:r>
        <w:t xml:space="preserve">14 CCR </w:t>
      </w:r>
      <w:r w:rsidR="001B3A62">
        <w:t>§</w:t>
      </w:r>
      <w:r>
        <w:t xml:space="preserve">1104.1, the utility exemption remains in proposed 14 CCR §1114, and the public agency exemption now occupies a new proposed 14 CCR </w:t>
      </w:r>
      <w:r w:rsidR="001B3A62">
        <w:t>§</w:t>
      </w:r>
      <w:r>
        <w:t>1114.5.</w:t>
      </w:r>
      <w:r w:rsidR="00F04FA3">
        <w:t xml:space="preserve"> </w:t>
      </w:r>
    </w:p>
    <w:p w14:paraId="014EB05E" w14:textId="77777777" w:rsidR="007A3BE8" w:rsidRDefault="007A3BE8" w:rsidP="0030140E"/>
    <w:p w14:paraId="06E3DD89" w14:textId="7FC6BCB7" w:rsidR="007A3BE8" w:rsidRDefault="007A3BE8" w:rsidP="0030140E">
      <w:r>
        <w:t>Although the new public agency exemption in 14 CCR §1114.5 appears to be new language, it reflects (with minor revisions) the same substantive requirements for public agency exemptions that applied under the preceding draft considered by the Management Committee.</w:t>
      </w:r>
      <w:r w:rsidR="00F04FA3" w:rsidRPr="00F04FA3">
        <w:t xml:space="preserve"> </w:t>
      </w:r>
      <w:r w:rsidR="00F04FA3">
        <w:t>See Pages 42-46.</w:t>
      </w:r>
    </w:p>
    <w:p w14:paraId="3F67E70E" w14:textId="339F71F7" w:rsidR="0030140E" w:rsidRPr="0030140E" w:rsidRDefault="007A3BE8" w:rsidP="0030140E">
      <w:r>
        <w:t xml:space="preserve">  </w:t>
      </w:r>
    </w:p>
    <w:p w14:paraId="73F0193A" w14:textId="4BD78B2B" w:rsidR="00A24DDC" w:rsidRDefault="007A3BE8" w:rsidP="00A24DDC">
      <w:pPr>
        <w:pStyle w:val="Heading2"/>
        <w:numPr>
          <w:ilvl w:val="0"/>
          <w:numId w:val="28"/>
        </w:numPr>
      </w:pPr>
      <w:r>
        <w:t>Conforming changes made necessary by creating a new section for public agency exemptions</w:t>
      </w:r>
    </w:p>
    <w:p w14:paraId="319C5CDA" w14:textId="77777777" w:rsidR="007A3BE8" w:rsidRDefault="007A3BE8" w:rsidP="007A3BE8"/>
    <w:p w14:paraId="466B1221" w14:textId="42F5E2BC" w:rsidR="009C236C" w:rsidRDefault="009C236C" w:rsidP="007A3BE8">
      <w:r>
        <w:t xml:space="preserve">Establishing separate regulatory sections for the utility and public agency exemptions required conforming changes </w:t>
      </w:r>
      <w:r w:rsidR="00A13001">
        <w:t xml:space="preserve">throughout the rule text </w:t>
      </w:r>
      <w:r>
        <w:t>that were numerous</w:t>
      </w:r>
      <w:r w:rsidR="00A13001">
        <w:t xml:space="preserve"> b</w:t>
      </w:r>
      <w:r>
        <w:t xml:space="preserve">ut nonsubstantive. </w:t>
      </w:r>
      <w:r w:rsidR="00A13001">
        <w:t xml:space="preserve">A sampling of </w:t>
      </w:r>
      <w:r>
        <w:t xml:space="preserve">these </w:t>
      </w:r>
      <w:r w:rsidR="00A13001">
        <w:t xml:space="preserve">types of </w:t>
      </w:r>
      <w:r>
        <w:t>changes include:</w:t>
      </w:r>
    </w:p>
    <w:p w14:paraId="412EF279" w14:textId="10B44165" w:rsidR="009C236C" w:rsidRDefault="009C236C" w:rsidP="009C236C">
      <w:pPr>
        <w:pStyle w:val="ListParagraph"/>
        <w:numPr>
          <w:ilvl w:val="0"/>
          <w:numId w:val="29"/>
        </w:numPr>
      </w:pPr>
      <w:r>
        <w:t>All references to “public agency” had to be deleted from 14 CCR §1114 so that  section now clearly applies only to utility exemptions.</w:t>
      </w:r>
      <w:r w:rsidR="009047B4">
        <w:t xml:space="preserve"> Deletions also include language in that section that was previously needed to </w:t>
      </w:r>
      <w:r w:rsidR="00F17371">
        <w:t>differentiate between how and when the requirements applied differently to utility and public agency exemptions.</w:t>
      </w:r>
      <w:r w:rsidR="009047B4">
        <w:t xml:space="preserve"> </w:t>
      </w:r>
    </w:p>
    <w:p w14:paraId="3FC728D4" w14:textId="043870E1" w:rsidR="007A3BE8" w:rsidRDefault="009C236C" w:rsidP="009C236C">
      <w:pPr>
        <w:pStyle w:val="ListParagraph"/>
        <w:numPr>
          <w:ilvl w:val="0"/>
          <w:numId w:val="29"/>
        </w:numPr>
      </w:pPr>
      <w:r>
        <w:t xml:space="preserve">The draft needed to establish separate and distinguishable names for the exemptions. </w:t>
      </w:r>
      <w:r w:rsidR="00985FC5">
        <w:t>General r</w:t>
      </w:r>
      <w:r>
        <w:t>eferences to the “</w:t>
      </w:r>
      <w:r w:rsidR="001B3A62">
        <w:t>right-of-way</w:t>
      </w:r>
      <w:r>
        <w:t xml:space="preserve"> exemption” are now </w:t>
      </w:r>
      <w:r w:rsidR="00985FC5">
        <w:t xml:space="preserve">more specific references to the </w:t>
      </w:r>
      <w:r>
        <w:t xml:space="preserve">“utility right-of-way exemption” </w:t>
      </w:r>
      <w:r w:rsidR="00985FC5">
        <w:t>or</w:t>
      </w:r>
      <w:r>
        <w:t xml:space="preserve"> “public agency right-of-way-exemption” respectively.</w:t>
      </w:r>
    </w:p>
    <w:p w14:paraId="686BD67D" w14:textId="49400509" w:rsidR="009C236C" w:rsidRDefault="009C236C" w:rsidP="009C236C">
      <w:pPr>
        <w:pStyle w:val="ListParagraph"/>
        <w:numPr>
          <w:ilvl w:val="0"/>
          <w:numId w:val="29"/>
        </w:numPr>
      </w:pPr>
      <w:r>
        <w:lastRenderedPageBreak/>
        <w:t>The preceding drafts made conforming changes to several regulatory sections at the beginning of the rule text document (</w:t>
      </w:r>
      <w:r w:rsidR="00F04FA3">
        <w:t>P</w:t>
      </w:r>
      <w:r>
        <w:t xml:space="preserve">ages 2-8) that included cross-references to 14 CCR </w:t>
      </w:r>
      <w:r w:rsidR="00985FC5">
        <w:t>§</w:t>
      </w:r>
      <w:r>
        <w:t xml:space="preserve">1104.1 to also include a reference to the newly proposed 14 CCR §1114. The draft now also adds references to 14 CCR §1114.5 to each of those sections to address the separation of the utility and public agency exemptions.  </w:t>
      </w:r>
    </w:p>
    <w:p w14:paraId="2BA06CAC" w14:textId="77777777" w:rsidR="00FB1156" w:rsidRPr="007A3BE8" w:rsidRDefault="00FB1156" w:rsidP="00FB1156">
      <w:pPr>
        <w:pStyle w:val="ListParagraph"/>
        <w:ind w:left="780"/>
      </w:pPr>
    </w:p>
    <w:p w14:paraId="5B9DC985" w14:textId="3BD8B19E" w:rsidR="0030140E" w:rsidRDefault="00F17371" w:rsidP="0030140E">
      <w:pPr>
        <w:pStyle w:val="Heading2"/>
        <w:numPr>
          <w:ilvl w:val="0"/>
          <w:numId w:val="28"/>
        </w:numPr>
      </w:pPr>
      <w:r>
        <w:t>Organizational change regarding legal effect of the Table of Right-of-Way Widths</w:t>
      </w:r>
    </w:p>
    <w:p w14:paraId="66B7020D" w14:textId="77777777" w:rsidR="00F17371" w:rsidRDefault="00F17371" w:rsidP="00F17371"/>
    <w:p w14:paraId="33A274FA" w14:textId="553BE060" w:rsidR="00A13001" w:rsidRDefault="00A13001" w:rsidP="00F17371">
      <w:r>
        <w:t>In response to concerns raised by RCRC, small timberland owners, and others, previous drafts of the rule text included language (formerly at 14 CCR §1114(h)) clarifying that the designated right-of-way widths confer no legal rights to a utility. Given the importance of the</w:t>
      </w:r>
      <w:r w:rsidR="00985FC5">
        <w:t>se</w:t>
      </w:r>
      <w:r>
        <w:t xml:space="preserve"> clarifying statements, Board </w:t>
      </w:r>
      <w:r w:rsidR="00985FC5">
        <w:t>staff recommends</w:t>
      </w:r>
      <w:r>
        <w:t xml:space="preserve"> relocat</w:t>
      </w:r>
      <w:r w:rsidR="00985FC5">
        <w:t>ing</w:t>
      </w:r>
      <w:r>
        <w:t xml:space="preserve"> those provisions to the beginning of the section for utility right-of-way exemptions.</w:t>
      </w:r>
      <w:r w:rsidR="00B106D3">
        <w:t xml:space="preserve"> See Page 24:6-14.</w:t>
      </w:r>
    </w:p>
    <w:p w14:paraId="643CB0BB" w14:textId="409873E2" w:rsidR="00F17371" w:rsidRPr="00F17371" w:rsidRDefault="00A13001" w:rsidP="00F17371">
      <w:r>
        <w:t xml:space="preserve">  </w:t>
      </w:r>
    </w:p>
    <w:p w14:paraId="79A037C0" w14:textId="3AAB6960" w:rsidR="00B106D3" w:rsidRDefault="00B106D3" w:rsidP="0030140E">
      <w:pPr>
        <w:pStyle w:val="Heading2"/>
        <w:numPr>
          <w:ilvl w:val="0"/>
          <w:numId w:val="28"/>
        </w:numPr>
      </w:pPr>
      <w:r>
        <w:t>Board member requested change to identify type of utility and corresponding approved right-of-way width in the notice</w:t>
      </w:r>
    </w:p>
    <w:p w14:paraId="538D2E88" w14:textId="77777777" w:rsidR="0045019A" w:rsidRDefault="0045019A" w:rsidP="0045019A"/>
    <w:p w14:paraId="398F85BF" w14:textId="5BFD637C" w:rsidR="0045019A" w:rsidRDefault="00B106D3" w:rsidP="0045019A">
      <w:r>
        <w:t xml:space="preserve">A Board member </w:t>
      </w:r>
      <w:r w:rsidR="00985FC5">
        <w:t xml:space="preserve">suggested </w:t>
      </w:r>
      <w:r>
        <w:t xml:space="preserve">that it would be beneficial if the notices for the utility right-of-way exemption included information about which type of utility is submitting the notice, as well as the corresponding right-of-way width that applies to that type of utility </w:t>
      </w:r>
      <w:r w:rsidR="00985FC5">
        <w:t>lines and i</w:t>
      </w:r>
      <w:r>
        <w:t xml:space="preserve">nfrastructure. Board staff support this recommendation. This change has been made to 14 CCR §1114(b) which identifies the required information for the notice. See </w:t>
      </w:r>
      <w:r w:rsidR="0045019A">
        <w:t>Page 24:19-21.</w:t>
      </w:r>
      <w:r>
        <w:t xml:space="preserve"> </w:t>
      </w:r>
    </w:p>
    <w:p w14:paraId="203EF773" w14:textId="2A9537EF" w:rsidR="0030140E" w:rsidRPr="00B106D3" w:rsidRDefault="00B106D3" w:rsidP="00B106D3">
      <w:pPr>
        <w:pStyle w:val="Heading2"/>
        <w:rPr>
          <w:b w:val="0"/>
          <w:bCs/>
        </w:rPr>
      </w:pPr>
      <w:r>
        <w:rPr>
          <w:b w:val="0"/>
          <w:bCs/>
        </w:rPr>
        <w:t xml:space="preserve">  </w:t>
      </w:r>
    </w:p>
    <w:p w14:paraId="257987A6" w14:textId="7C5B6315" w:rsidR="0030140E" w:rsidRDefault="0045019A" w:rsidP="0030140E">
      <w:pPr>
        <w:pStyle w:val="Heading2"/>
        <w:numPr>
          <w:ilvl w:val="0"/>
          <w:numId w:val="28"/>
        </w:numPr>
      </w:pPr>
      <w:r>
        <w:t>Change #1 requested at May meeting: timing of supplemental maps</w:t>
      </w:r>
    </w:p>
    <w:p w14:paraId="7F95EBED" w14:textId="77777777" w:rsidR="0045019A" w:rsidRDefault="0045019A" w:rsidP="0045019A"/>
    <w:p w14:paraId="5CDB9171" w14:textId="2D9A4BE2" w:rsidR="0045019A" w:rsidRDefault="0045019A" w:rsidP="0045019A">
      <w:r>
        <w:t xml:space="preserve">To address concerns raised by utility stakeholders, preceding drafts authorized a utility to submit supplemental information on a rolling basis after the initial notice has been submitted and accepted. Specifically, two provisions pertaining to supplemental mapping requirements authorized utilities to submit maps with supplemental information not more than once per month per exemption notice. At the May meeting, a utility stakeholder </w:t>
      </w:r>
      <w:r w:rsidR="00985FC5">
        <w:t>instead</w:t>
      </w:r>
      <w:r>
        <w:t xml:space="preserve"> requested that those supplemental maps be permitted to be filed not more than once every two weeks per notice, instead of once per month. This change has been accommodated</w:t>
      </w:r>
      <w:r w:rsidR="00FE25EA">
        <w:t>. See Pages 26:22-24 and 35:11-13.</w:t>
      </w:r>
    </w:p>
    <w:p w14:paraId="31EF9933" w14:textId="77777777" w:rsidR="00FE25EA" w:rsidRPr="0045019A" w:rsidRDefault="00FE25EA" w:rsidP="0045019A"/>
    <w:p w14:paraId="259F6DB1" w14:textId="493934A4" w:rsidR="0030140E" w:rsidRDefault="00FE25EA" w:rsidP="0030140E">
      <w:pPr>
        <w:pStyle w:val="Heading2"/>
        <w:numPr>
          <w:ilvl w:val="0"/>
          <w:numId w:val="28"/>
        </w:numPr>
      </w:pPr>
      <w:r>
        <w:t>Change #2 requested at May meeting: “Critical habitat” references</w:t>
      </w:r>
    </w:p>
    <w:p w14:paraId="4AA0B03C" w14:textId="77777777" w:rsidR="00B877E3" w:rsidRDefault="00B877E3" w:rsidP="00B877E3"/>
    <w:p w14:paraId="30B2263D" w14:textId="4038C6E7" w:rsidR="00C95316" w:rsidRDefault="00B877E3" w:rsidP="00B877E3">
      <w:r>
        <w:t xml:space="preserve">In connection with </w:t>
      </w:r>
      <w:r w:rsidR="00985FC5">
        <w:t>notice</w:t>
      </w:r>
      <w:r>
        <w:t xml:space="preserve"> requirements associated with the removal of certain types of Danger Trees, the preceding draft made several related references to Danger Trees </w:t>
      </w:r>
      <w:r w:rsidR="00C95316">
        <w:t xml:space="preserve">that </w:t>
      </w:r>
      <w:r w:rsidR="00985FC5">
        <w:t>constitute</w:t>
      </w:r>
      <w:r w:rsidR="00C95316">
        <w:t xml:space="preserve"> “critical habitat” for rare, threatened, or endangered species. CDFW commented that </w:t>
      </w:r>
      <w:r w:rsidR="00985FC5">
        <w:t>“</w:t>
      </w:r>
      <w:r w:rsidR="00C95316">
        <w:t>critical habitat</w:t>
      </w:r>
      <w:r w:rsidR="00985FC5">
        <w:t>”</w:t>
      </w:r>
      <w:r w:rsidR="00C95316">
        <w:t xml:space="preserve"> has a specific legal meaning for purpose of the Federal Endangered Species Act and expressed concern that using such terminology may result in unintended interpretations and/or consequences. Committee members were receptive to this comment but also expressed concern that whatever terminology is used </w:t>
      </w:r>
      <w:r w:rsidR="00985FC5">
        <w:t xml:space="preserve">must </w:t>
      </w:r>
      <w:r w:rsidR="00C95316">
        <w:t xml:space="preserve">be sensitive to the scope of its application. For instance, if the requirements applied to any suitable </w:t>
      </w:r>
      <w:r w:rsidR="00C95316">
        <w:lastRenderedPageBreak/>
        <w:t>habitat for rare/threatened/endangered species, that would be overly broad for purposes of Danger Tree removal notifications required by the proposed rule text.</w:t>
      </w:r>
    </w:p>
    <w:p w14:paraId="5224A83D" w14:textId="77777777" w:rsidR="00C95316" w:rsidRDefault="00C95316" w:rsidP="00B877E3"/>
    <w:p w14:paraId="194A7F1C" w14:textId="17A59738" w:rsidR="008C69A7" w:rsidRDefault="00C95316" w:rsidP="00B877E3">
      <w:r>
        <w:t xml:space="preserve">In the proposed draft, Board staff have eliminated the references to “critical habitat” in favor of existing language from 14 CCR §1104.1 </w:t>
      </w:r>
      <w:r w:rsidR="00985FC5">
        <w:t>(</w:t>
      </w:r>
      <w:r>
        <w:t>and proposed 14 CCR §1114</w:t>
      </w:r>
      <w:r w:rsidR="00985FC5">
        <w:t>)</w:t>
      </w:r>
      <w:r>
        <w:t xml:space="preserve"> that prohibits Timber Operations under the exemption permits </w:t>
      </w:r>
      <w:r w:rsidR="008C69A7">
        <w:t>on “</w:t>
      </w:r>
      <w:r w:rsidR="008C69A7" w:rsidRPr="008C69A7">
        <w:t>sites of rare, threatened, or endangered plants or animals</w:t>
      </w:r>
      <w:r w:rsidR="008C69A7">
        <w:t xml:space="preserve">.” </w:t>
      </w:r>
    </w:p>
    <w:p w14:paraId="0FDDAA97" w14:textId="77777777" w:rsidR="008C69A7" w:rsidRDefault="008C69A7" w:rsidP="00B877E3"/>
    <w:p w14:paraId="3AAE032A" w14:textId="46A70DF2" w:rsidR="00B877E3" w:rsidRDefault="008C69A7" w:rsidP="00B877E3">
      <w:r>
        <w:t>The change promotes internal consistency with terminology, though Board staff remain highly receptive to recommendations from CDFW and other stakeholders for alternative terminology that may be a better fit. See pages 26:5-9, 35:6-11, 35:18-23.</w:t>
      </w:r>
      <w:r w:rsidR="00C95316">
        <w:t xml:space="preserve">    </w:t>
      </w:r>
    </w:p>
    <w:p w14:paraId="1FBBFCA0" w14:textId="77777777" w:rsidR="00A652C0" w:rsidRDefault="00A652C0" w:rsidP="00B877E3"/>
    <w:p w14:paraId="24AC2DDF" w14:textId="753FF8AE" w:rsidR="00A652C0" w:rsidRPr="00B877E3" w:rsidRDefault="00A652C0" w:rsidP="00B877E3">
      <w:r>
        <w:t>As a</w:t>
      </w:r>
      <w:r w:rsidR="00E227B7">
        <w:t xml:space="preserve"> potential </w:t>
      </w:r>
      <w:r>
        <w:t>alternative</w:t>
      </w:r>
      <w:r w:rsidR="00E227B7">
        <w:t xml:space="preserve"> for consideration</w:t>
      </w:r>
      <w:r>
        <w:t xml:space="preserve">, Board staff </w:t>
      </w:r>
      <w:r w:rsidR="00E227B7">
        <w:t xml:space="preserve">research </w:t>
      </w:r>
      <w:r w:rsidR="00985FC5">
        <w:t xml:space="preserve">identified </w:t>
      </w:r>
      <w:r w:rsidR="00E227B7">
        <w:t xml:space="preserve">some </w:t>
      </w:r>
      <w:r>
        <w:t>use</w:t>
      </w:r>
      <w:r w:rsidR="00E227B7">
        <w:t>s</w:t>
      </w:r>
      <w:r>
        <w:t xml:space="preserve"> of the phrase “key habitat”</w:t>
      </w:r>
      <w:r w:rsidR="00E227B7">
        <w:t xml:space="preserve"> in connection with rare/threatened/endangered species. However, OAL may view that phrase as lacking clarity, in which case it would be advisable to create a regulatory definition of that phrase. Board staff identified one such definition from an international jurisdic</w:t>
      </w:r>
      <w:r w:rsidR="007F7CA7">
        <w:t>t</w:t>
      </w:r>
      <w:r w:rsidR="00E227B7">
        <w:t>ion that might be appropriate and sufficient for this proposed rulemaking: “</w:t>
      </w:r>
      <w:r w:rsidR="00E227B7" w:rsidRPr="00E227B7">
        <w:t>A key habitat is an area in the forest where the probability of the occurrence of [rare, threatened, or endangered] species is high.</w:t>
      </w:r>
      <w:r w:rsidR="00E227B7">
        <w:t>” This approach may warrant further discussion at the July meeting</w:t>
      </w:r>
      <w:r w:rsidR="00985FC5">
        <w:t xml:space="preserve"> as an alternative to the language currently in the proposed rule text</w:t>
      </w:r>
      <w:r w:rsidR="00E227B7">
        <w:t>.</w:t>
      </w:r>
      <w:r w:rsidR="00E227B7" w:rsidRPr="00E227B7">
        <w:t xml:space="preserve">  </w:t>
      </w:r>
    </w:p>
    <w:p w14:paraId="67C4CDB6" w14:textId="77777777" w:rsidR="001120E3" w:rsidRDefault="001120E3" w:rsidP="001120E3"/>
    <w:p w14:paraId="291F53EE" w14:textId="058641B1" w:rsidR="001120E3" w:rsidRDefault="001120E3" w:rsidP="001120E3">
      <w:pPr>
        <w:pStyle w:val="Heading2"/>
        <w:numPr>
          <w:ilvl w:val="0"/>
          <w:numId w:val="28"/>
        </w:numPr>
      </w:pPr>
      <w:r>
        <w:t>Change #3 requested at May meeting: Treatment standards for Woody Debris constituting “nuisance” or that “promotes the spread of wildfire”</w:t>
      </w:r>
    </w:p>
    <w:p w14:paraId="2515FFC9" w14:textId="77777777" w:rsidR="00A652C0" w:rsidRDefault="00A652C0" w:rsidP="00A652C0"/>
    <w:p w14:paraId="76195F98" w14:textId="734196B5" w:rsidR="007F7CA7" w:rsidRDefault="006E6C56" w:rsidP="00A652C0">
      <w:r>
        <w:t xml:space="preserve">Preceding drafts have grappled with the issue of articulating reasonable and appropriate standards for treatment of Slash and Woody Debris. In particular, Woody Debris poses some unique </w:t>
      </w:r>
      <w:r w:rsidR="00985FC5">
        <w:t xml:space="preserve">circumstances </w:t>
      </w:r>
      <w:r>
        <w:t xml:space="preserve">where it may be </w:t>
      </w:r>
      <w:r w:rsidR="00985FC5">
        <w:t xml:space="preserve">more </w:t>
      </w:r>
      <w:r>
        <w:t xml:space="preserve">appropriate for </w:t>
      </w:r>
      <w:r w:rsidR="00985FC5">
        <w:t xml:space="preserve">the Woody Debris </w:t>
      </w:r>
      <w:r>
        <w:t xml:space="preserve">to be left in place. The challenge is to describe with sufficient specificity instances where the risks posed by untreated Woody Debris reach a level where a utility should be obligated to treat the Woody Debris. </w:t>
      </w:r>
    </w:p>
    <w:p w14:paraId="1C89C4D9" w14:textId="77777777" w:rsidR="007F7CA7" w:rsidRDefault="007F7CA7" w:rsidP="00A652C0"/>
    <w:p w14:paraId="69D44F95" w14:textId="77777777" w:rsidR="007F7CA7" w:rsidRDefault="006E6C56" w:rsidP="00A652C0">
      <w:r>
        <w:t xml:space="preserve">The preceding draft </w:t>
      </w:r>
      <w:r w:rsidR="00197798">
        <w:t xml:space="preserve">required treatment of Woody Debris </w:t>
      </w:r>
      <w:r w:rsidR="007F7CA7">
        <w:t>“</w:t>
      </w:r>
      <w:r w:rsidR="00197798" w:rsidRPr="00197798">
        <w:t>whose location or physical arrangement presents a public or private nuisance or promotes the spread of wildfire</w:t>
      </w:r>
      <w:r w:rsidR="007F7CA7">
        <w:t>.”</w:t>
      </w:r>
      <w:r>
        <w:t xml:space="preserve"> </w:t>
      </w:r>
      <w:r w:rsidR="007F7CA7">
        <w:t xml:space="preserve">Committee members and stakeholders expressed some concern that “nuisance” and “promotes the spread of wildfire” were confusing and/or lacked sufficient descriptive detail. </w:t>
      </w:r>
    </w:p>
    <w:p w14:paraId="779AF107" w14:textId="77777777" w:rsidR="007F7CA7" w:rsidRDefault="007F7CA7" w:rsidP="00A652C0"/>
    <w:p w14:paraId="3E66008B" w14:textId="47129086" w:rsidR="001120E3" w:rsidRDefault="007F7CA7" w:rsidP="001120E3">
      <w:r>
        <w:t>Board staff were only marginally successful in finding improved alternative terminology. The proposed draft borrows language from the Forest Fire Prevention Exemption (14 CCR §1038.3)</w:t>
      </w:r>
      <w:r w:rsidR="00E259E4">
        <w:t xml:space="preserve"> </w:t>
      </w:r>
      <w:r w:rsidR="004A46D6">
        <w:t>describing</w:t>
      </w:r>
      <w:r w:rsidR="00E259E4">
        <w:t xml:space="preserve"> a “</w:t>
      </w:r>
      <w:r w:rsidR="00E259E4" w:rsidRPr="00E259E4">
        <w:t>hazardous accumulation of flammable materials with enhanced risk of increased wildfire ignition, spread rate, duration, or intensity</w:t>
      </w:r>
      <w:r>
        <w:t>.</w:t>
      </w:r>
      <w:r w:rsidR="00E259E4">
        <w:t>”</w:t>
      </w:r>
      <w:r>
        <w:t xml:space="preserve"> Board staff remain receptive to Board member or stakeholder recommendations  for alternative terminology.</w:t>
      </w:r>
      <w:r w:rsidR="00E259E4">
        <w:t xml:space="preserve"> See page 29:9-14.</w:t>
      </w:r>
    </w:p>
    <w:p w14:paraId="7ABCA068" w14:textId="77777777" w:rsidR="007F7CA7" w:rsidRDefault="007F7CA7" w:rsidP="001120E3"/>
    <w:p w14:paraId="412357B8" w14:textId="349F43B8" w:rsidR="001120E3" w:rsidRDefault="001120E3" w:rsidP="001120E3">
      <w:pPr>
        <w:pStyle w:val="Heading2"/>
        <w:numPr>
          <w:ilvl w:val="0"/>
          <w:numId w:val="28"/>
        </w:numPr>
      </w:pPr>
      <w:r>
        <w:lastRenderedPageBreak/>
        <w:t>Change #4 requested at Ma</w:t>
      </w:r>
      <w:r w:rsidR="009410C0">
        <w:t>y</w:t>
      </w:r>
      <w:r>
        <w:t xml:space="preserve"> meeting: Utility obligations to coordinate operations with landowners who wish to commercialize felled timber</w:t>
      </w:r>
    </w:p>
    <w:p w14:paraId="3A3C20B6" w14:textId="77777777" w:rsidR="001120E3" w:rsidRDefault="001120E3" w:rsidP="001120E3"/>
    <w:p w14:paraId="2F8B9857" w14:textId="0C86C7A3" w:rsidR="00A24DDC" w:rsidRPr="00A24DDC" w:rsidRDefault="009410C0" w:rsidP="00A24DDC">
      <w:r>
        <w:t xml:space="preserve">The preceding draft imposed requirements on utilities to coordinate efforts with landowners who are interested in commercializing timber felled under a utility right-of-way exemption. Specifically, a utility generally would have been required to cut timber to commercial lengths and deck the logs on a landing. Based on concerns raised by a utility stakeholder, Management Committee members agreed to consider further modifications to </w:t>
      </w:r>
      <w:r w:rsidR="00F04FA3">
        <w:t xml:space="preserve">narrow the scope of </w:t>
      </w:r>
      <w:r>
        <w:t>these provisions</w:t>
      </w:r>
      <w:r w:rsidR="00F04FA3">
        <w:t xml:space="preserve"> and improve flexibility, as reflected in the proposed draft</w:t>
      </w:r>
      <w:r>
        <w:t xml:space="preserve">. </w:t>
      </w:r>
      <w:r w:rsidR="00F04FA3">
        <w:t>See Pages 39:25-40:1-5.</w:t>
      </w:r>
    </w:p>
    <w:sectPr w:rsidR="00A24DDC" w:rsidRPr="00A24DDC"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662B" w14:textId="77777777" w:rsidR="00DE51BE" w:rsidRDefault="00DE51BE" w:rsidP="005F6B90">
      <w:r>
        <w:separator/>
      </w:r>
    </w:p>
  </w:endnote>
  <w:endnote w:type="continuationSeparator" w:id="0">
    <w:p w14:paraId="6FAB9318" w14:textId="77777777" w:rsidR="00DE51BE" w:rsidRDefault="00DE51B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6375"/>
      <w:docPartObj>
        <w:docPartGallery w:val="Page Numbers (Bottom of Page)"/>
        <w:docPartUnique/>
      </w:docPartObj>
    </w:sdtPr>
    <w:sdtEndPr>
      <w:rPr>
        <w:noProof/>
      </w:rPr>
    </w:sdtEndPr>
    <w:sdtContent>
      <w:p w14:paraId="6417DEB2" w14:textId="4B07CB48" w:rsidR="004D5EC4" w:rsidRDefault="004D5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CCC8F" w14:textId="77777777" w:rsidR="004D5EC4" w:rsidRDefault="004D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12101"/>
      <w:docPartObj>
        <w:docPartGallery w:val="Page Numbers (Bottom of Page)"/>
        <w:docPartUnique/>
      </w:docPartObj>
    </w:sdtPr>
    <w:sdtEndPr>
      <w:rPr>
        <w:noProof/>
      </w:rPr>
    </w:sdtEndPr>
    <w:sdtContent>
      <w:p w14:paraId="2A9F6511" w14:textId="4265A966" w:rsidR="004D5EC4" w:rsidRDefault="004D5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D2AFD" w14:textId="77777777" w:rsidR="004D5EC4" w:rsidRDefault="004D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1353" w14:textId="77777777" w:rsidR="00DE51BE" w:rsidRDefault="00DE51BE" w:rsidP="005F6B90">
      <w:r>
        <w:separator/>
      </w:r>
    </w:p>
  </w:footnote>
  <w:footnote w:type="continuationSeparator" w:id="0">
    <w:p w14:paraId="2F877731" w14:textId="77777777" w:rsidR="00DE51BE" w:rsidRDefault="00DE51BE" w:rsidP="005F6B90">
      <w:r>
        <w:continuationSeparator/>
      </w:r>
    </w:p>
  </w:footnote>
  <w:footnote w:id="1">
    <w:p w14:paraId="22942830" w14:textId="772E17E0" w:rsidR="00F04FA3" w:rsidRDefault="00F04FA3">
      <w:pPr>
        <w:pStyle w:val="FootnoteText"/>
      </w:pPr>
      <w:r>
        <w:rPr>
          <w:rStyle w:val="FootnoteReference"/>
        </w:rPr>
        <w:footnoteRef/>
      </w:r>
      <w:r>
        <w:t xml:space="preserve"> All prior drafts of the rule text remain available on the </w:t>
      </w:r>
      <w:r w:rsidR="00863321">
        <w:t>“</w:t>
      </w:r>
      <w:r w:rsidR="00580FA0">
        <w:t>Binder Materials</w:t>
      </w:r>
      <w:r w:rsidR="00863321">
        <w:t>”</w:t>
      </w:r>
      <w:r w:rsidR="00580FA0">
        <w:t xml:space="preserve"> page of the </w:t>
      </w:r>
      <w:r>
        <w:t>Board’s website. Stakeholders</w:t>
      </w:r>
      <w:r w:rsidR="0008102C">
        <w:t xml:space="preserve"> </w:t>
      </w:r>
      <w:r>
        <w:t>may consult the draft for the May meeting</w:t>
      </w:r>
      <w:r w:rsidR="0008102C">
        <w:t xml:space="preserve"> if they wish to see how the rule text read prior to the current proposed draft.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4A63" w14:textId="77777777" w:rsidR="00F70E6B" w:rsidRDefault="008422B7">
    <w:pPr>
      <w:pStyle w:val="Header"/>
    </w:pPr>
    <w:r>
      <w:rPr>
        <w:noProof/>
      </w:rPr>
      <w:pict w14:anchorId="08A10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CA9" w14:textId="782D6B34" w:rsidR="00F70E6B" w:rsidRDefault="00F70E6B"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r>
    <w:r w:rsidR="009C79F9">
      <w:rPr>
        <w:b/>
        <w:spacing w:val="2"/>
        <w:sz w:val="14"/>
        <w:szCs w:val="24"/>
      </w:rPr>
      <w:t>TERRENCE O’BRIEN</w:t>
    </w:r>
    <w:r>
      <w:rPr>
        <w:b/>
        <w:spacing w:val="2"/>
        <w:sz w:val="14"/>
        <w:szCs w:val="24"/>
      </w:rPr>
      <w:t>, CHAIR</w:t>
    </w:r>
  </w:p>
  <w:p w14:paraId="4365ACFB" w14:textId="77777777" w:rsidR="00F70E6B" w:rsidRDefault="00F70E6B"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EA9EE01" w14:textId="77777777" w:rsidR="00F70E6B" w:rsidRDefault="00F70E6B"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481C6784" w14:textId="77777777" w:rsidR="00F70E6B" w:rsidRDefault="00F70E6B"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4C1313F4" wp14:editId="12F15F02">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2B7">
      <w:rPr>
        <w:spacing w:val="-2"/>
        <w:sz w:val="12"/>
        <w:szCs w:val="12"/>
      </w:rPr>
      <w:pict w14:anchorId="50D685F9">
        <v:rect id="_x0000_i1025" style="width:0;height:1.5pt" o:hralign="center" o:hrstd="t" o:hr="t" fillcolor="#a0a0a0" stroked="f"/>
      </w:pict>
    </w:r>
  </w:p>
  <w:p w14:paraId="04BC13EA" w14:textId="77777777" w:rsidR="00F70E6B" w:rsidRPr="005F6B90" w:rsidRDefault="00F70E6B"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E54AD22" w14:textId="77777777" w:rsidR="00F70E6B" w:rsidRPr="005F6B90" w:rsidRDefault="00F70E6B" w:rsidP="003E0AFA">
    <w:pPr>
      <w:tabs>
        <w:tab w:val="left" w:pos="-720"/>
      </w:tabs>
      <w:suppressAutoHyphens/>
      <w:ind w:left="-720" w:right="-864"/>
      <w:rPr>
        <w:spacing w:val="8"/>
        <w:sz w:val="14"/>
        <w:szCs w:val="24"/>
      </w:rPr>
    </w:pPr>
    <w:r w:rsidRPr="005F6B90">
      <w:rPr>
        <w:spacing w:val="8"/>
        <w:sz w:val="14"/>
        <w:szCs w:val="24"/>
      </w:rPr>
      <w:t>SACRAMENTO, CA 94244-2460</w:t>
    </w:r>
  </w:p>
  <w:p w14:paraId="5182C2DF" w14:textId="77777777" w:rsidR="00F70E6B" w:rsidRPr="005F6B90" w:rsidRDefault="00F70E6B" w:rsidP="005F6B90">
    <w:pPr>
      <w:tabs>
        <w:tab w:val="left" w:pos="-720"/>
      </w:tabs>
      <w:suppressAutoHyphens/>
      <w:ind w:left="-720"/>
      <w:rPr>
        <w:spacing w:val="8"/>
        <w:sz w:val="14"/>
        <w:szCs w:val="24"/>
      </w:rPr>
    </w:pPr>
    <w:r w:rsidRPr="005F6B90">
      <w:rPr>
        <w:spacing w:val="8"/>
        <w:sz w:val="14"/>
        <w:szCs w:val="24"/>
      </w:rPr>
      <w:t>(916) 653-8007</w:t>
    </w:r>
  </w:p>
  <w:p w14:paraId="207AD6D4" w14:textId="77777777" w:rsidR="00F70E6B" w:rsidRPr="005F6B90" w:rsidRDefault="00F70E6B"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2390597C" w14:textId="77777777" w:rsidR="00F70E6B" w:rsidRDefault="008422B7" w:rsidP="008307F1">
    <w:pPr>
      <w:tabs>
        <w:tab w:val="left" w:pos="-720"/>
      </w:tabs>
      <w:suppressAutoHyphens/>
      <w:ind w:left="-720"/>
    </w:pPr>
    <w:hyperlink r:id="rId2" w:history="1">
      <w:r w:rsidR="00F70E6B" w:rsidRPr="00B42235">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B5C93"/>
    <w:multiLevelType w:val="hybridMultilevel"/>
    <w:tmpl w:val="1EC4A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4CA5"/>
    <w:multiLevelType w:val="hybridMultilevel"/>
    <w:tmpl w:val="51A6BF4E"/>
    <w:lvl w:ilvl="0" w:tplc="28A0F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9194B"/>
    <w:multiLevelType w:val="hybridMultilevel"/>
    <w:tmpl w:val="439E7480"/>
    <w:lvl w:ilvl="0" w:tplc="52D06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116BE"/>
    <w:multiLevelType w:val="hybridMultilevel"/>
    <w:tmpl w:val="5C10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322"/>
    <w:multiLevelType w:val="hybridMultilevel"/>
    <w:tmpl w:val="FC26042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827DBD"/>
    <w:multiLevelType w:val="hybridMultilevel"/>
    <w:tmpl w:val="3EC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2249AB"/>
    <w:multiLevelType w:val="hybridMultilevel"/>
    <w:tmpl w:val="E53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06B7F"/>
    <w:multiLevelType w:val="hybridMultilevel"/>
    <w:tmpl w:val="4954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CC8214D"/>
    <w:multiLevelType w:val="hybridMultilevel"/>
    <w:tmpl w:val="3816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4"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77D61B44"/>
    <w:multiLevelType w:val="hybridMultilevel"/>
    <w:tmpl w:val="C04804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7662331">
    <w:abstractNumId w:val="2"/>
  </w:num>
  <w:num w:numId="2" w16cid:durableId="1184128604">
    <w:abstractNumId w:val="11"/>
  </w:num>
  <w:num w:numId="3" w16cid:durableId="1845634152">
    <w:abstractNumId w:val="26"/>
  </w:num>
  <w:num w:numId="4" w16cid:durableId="80836759">
    <w:abstractNumId w:val="6"/>
  </w:num>
  <w:num w:numId="5" w16cid:durableId="1774131141">
    <w:abstractNumId w:val="22"/>
  </w:num>
  <w:num w:numId="6" w16cid:durableId="972297176">
    <w:abstractNumId w:val="5"/>
  </w:num>
  <w:num w:numId="7" w16cid:durableId="1830972937">
    <w:abstractNumId w:val="4"/>
  </w:num>
  <w:num w:numId="8" w16cid:durableId="1868524559">
    <w:abstractNumId w:val="8"/>
  </w:num>
  <w:num w:numId="9" w16cid:durableId="897471377">
    <w:abstractNumId w:val="0"/>
  </w:num>
  <w:num w:numId="10" w16cid:durableId="298001123">
    <w:abstractNumId w:val="24"/>
  </w:num>
  <w:num w:numId="11" w16cid:durableId="961619752">
    <w:abstractNumId w:val="7"/>
  </w:num>
  <w:num w:numId="12" w16cid:durableId="1945141152">
    <w:abstractNumId w:val="27"/>
  </w:num>
  <w:num w:numId="13" w16cid:durableId="988558077">
    <w:abstractNumId w:val="23"/>
  </w:num>
  <w:num w:numId="14" w16cid:durableId="1341735940">
    <w:abstractNumId w:val="14"/>
  </w:num>
  <w:num w:numId="15" w16cid:durableId="2023820293">
    <w:abstractNumId w:val="17"/>
  </w:num>
  <w:num w:numId="16" w16cid:durableId="1886913961">
    <w:abstractNumId w:val="28"/>
  </w:num>
  <w:num w:numId="17" w16cid:durableId="228611841">
    <w:abstractNumId w:val="13"/>
  </w:num>
  <w:num w:numId="18" w16cid:durableId="990061881">
    <w:abstractNumId w:val="15"/>
  </w:num>
  <w:num w:numId="19" w16cid:durableId="622542882">
    <w:abstractNumId w:val="19"/>
  </w:num>
  <w:num w:numId="20" w16cid:durableId="109012388">
    <w:abstractNumId w:val="9"/>
  </w:num>
  <w:num w:numId="21" w16cid:durableId="396051551">
    <w:abstractNumId w:val="10"/>
  </w:num>
  <w:num w:numId="22" w16cid:durableId="2138254455">
    <w:abstractNumId w:val="21"/>
  </w:num>
  <w:num w:numId="23" w16cid:durableId="2973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4053463">
    <w:abstractNumId w:val="1"/>
  </w:num>
  <w:num w:numId="25" w16cid:durableId="660893521">
    <w:abstractNumId w:val="16"/>
  </w:num>
  <w:num w:numId="26" w16cid:durableId="533232573">
    <w:abstractNumId w:val="18"/>
  </w:num>
  <w:num w:numId="27" w16cid:durableId="1815297538">
    <w:abstractNumId w:val="3"/>
  </w:num>
  <w:num w:numId="28" w16cid:durableId="71971311">
    <w:abstractNumId w:val="25"/>
  </w:num>
  <w:num w:numId="29" w16cid:durableId="83041367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eDK1NJKhaJO6puMTDqlM7IvYBOg9PdiZRnSYYGILxNv8dvxQ+/JoRmk19dGKxWAEqhs6hXy2gxzq3Su0eL4Hg==" w:salt="qlmAsfRptpS90vQzmnj4OQ=="/>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9AB"/>
    <w:rsid w:val="00005C98"/>
    <w:rsid w:val="00006213"/>
    <w:rsid w:val="000101C0"/>
    <w:rsid w:val="00011D8A"/>
    <w:rsid w:val="00013748"/>
    <w:rsid w:val="00013CEF"/>
    <w:rsid w:val="000215FA"/>
    <w:rsid w:val="000243EF"/>
    <w:rsid w:val="0002754C"/>
    <w:rsid w:val="0003112C"/>
    <w:rsid w:val="00034025"/>
    <w:rsid w:val="0003412E"/>
    <w:rsid w:val="0003636E"/>
    <w:rsid w:val="000378E1"/>
    <w:rsid w:val="00041656"/>
    <w:rsid w:val="00042AE7"/>
    <w:rsid w:val="00045549"/>
    <w:rsid w:val="00050C5B"/>
    <w:rsid w:val="000529A5"/>
    <w:rsid w:val="00052D0A"/>
    <w:rsid w:val="0005329B"/>
    <w:rsid w:val="00054F7E"/>
    <w:rsid w:val="000578F6"/>
    <w:rsid w:val="00066CF5"/>
    <w:rsid w:val="00066E77"/>
    <w:rsid w:val="000675F2"/>
    <w:rsid w:val="00073198"/>
    <w:rsid w:val="00074B73"/>
    <w:rsid w:val="000752C8"/>
    <w:rsid w:val="00080D55"/>
    <w:rsid w:val="0008102C"/>
    <w:rsid w:val="0008427D"/>
    <w:rsid w:val="00087280"/>
    <w:rsid w:val="00093A5A"/>
    <w:rsid w:val="00093E9E"/>
    <w:rsid w:val="0009431C"/>
    <w:rsid w:val="00097A0B"/>
    <w:rsid w:val="000A0128"/>
    <w:rsid w:val="000A4497"/>
    <w:rsid w:val="000A7800"/>
    <w:rsid w:val="000B2C00"/>
    <w:rsid w:val="000B3045"/>
    <w:rsid w:val="000B655B"/>
    <w:rsid w:val="000C0170"/>
    <w:rsid w:val="000C27F1"/>
    <w:rsid w:val="000C28D4"/>
    <w:rsid w:val="000C2E24"/>
    <w:rsid w:val="000C3F53"/>
    <w:rsid w:val="000C3FCD"/>
    <w:rsid w:val="000C4CF9"/>
    <w:rsid w:val="000D0526"/>
    <w:rsid w:val="000D0A79"/>
    <w:rsid w:val="000D3C4D"/>
    <w:rsid w:val="000D46B8"/>
    <w:rsid w:val="000D76CE"/>
    <w:rsid w:val="000E0DDC"/>
    <w:rsid w:val="000E3C4F"/>
    <w:rsid w:val="000F17B1"/>
    <w:rsid w:val="000F4976"/>
    <w:rsid w:val="000F5E0C"/>
    <w:rsid w:val="000F6CED"/>
    <w:rsid w:val="000F6EF9"/>
    <w:rsid w:val="00105236"/>
    <w:rsid w:val="00107812"/>
    <w:rsid w:val="001120E3"/>
    <w:rsid w:val="00113DEA"/>
    <w:rsid w:val="00116503"/>
    <w:rsid w:val="00117F05"/>
    <w:rsid w:val="0012274B"/>
    <w:rsid w:val="00122CB4"/>
    <w:rsid w:val="00123A41"/>
    <w:rsid w:val="00132F5C"/>
    <w:rsid w:val="0013381F"/>
    <w:rsid w:val="00133F8F"/>
    <w:rsid w:val="0013597D"/>
    <w:rsid w:val="001401DB"/>
    <w:rsid w:val="001419D4"/>
    <w:rsid w:val="001432CB"/>
    <w:rsid w:val="0014720D"/>
    <w:rsid w:val="001474F5"/>
    <w:rsid w:val="0014796B"/>
    <w:rsid w:val="001516FF"/>
    <w:rsid w:val="0015419B"/>
    <w:rsid w:val="0015495B"/>
    <w:rsid w:val="00155FFC"/>
    <w:rsid w:val="00156AC8"/>
    <w:rsid w:val="00161AF9"/>
    <w:rsid w:val="0016201E"/>
    <w:rsid w:val="00162DCD"/>
    <w:rsid w:val="00162E5B"/>
    <w:rsid w:val="00163425"/>
    <w:rsid w:val="001638CD"/>
    <w:rsid w:val="00163DDB"/>
    <w:rsid w:val="0016457F"/>
    <w:rsid w:val="001652F3"/>
    <w:rsid w:val="00173614"/>
    <w:rsid w:val="00173ADB"/>
    <w:rsid w:val="0017531E"/>
    <w:rsid w:val="00175BE0"/>
    <w:rsid w:val="00181368"/>
    <w:rsid w:val="001843E9"/>
    <w:rsid w:val="0018513C"/>
    <w:rsid w:val="00187A03"/>
    <w:rsid w:val="001946EF"/>
    <w:rsid w:val="00194EBF"/>
    <w:rsid w:val="00196196"/>
    <w:rsid w:val="00197798"/>
    <w:rsid w:val="001A2FC5"/>
    <w:rsid w:val="001A35BC"/>
    <w:rsid w:val="001A5DFD"/>
    <w:rsid w:val="001A64FC"/>
    <w:rsid w:val="001B3A62"/>
    <w:rsid w:val="001B417A"/>
    <w:rsid w:val="001B68D7"/>
    <w:rsid w:val="001B69FE"/>
    <w:rsid w:val="001C1BA6"/>
    <w:rsid w:val="001C2503"/>
    <w:rsid w:val="001C2782"/>
    <w:rsid w:val="001C731D"/>
    <w:rsid w:val="001D1351"/>
    <w:rsid w:val="001D749F"/>
    <w:rsid w:val="001E77FC"/>
    <w:rsid w:val="001F098C"/>
    <w:rsid w:val="001F0A0C"/>
    <w:rsid w:val="001F59F6"/>
    <w:rsid w:val="001F5DDB"/>
    <w:rsid w:val="001F61C6"/>
    <w:rsid w:val="00202566"/>
    <w:rsid w:val="002033F9"/>
    <w:rsid w:val="00204983"/>
    <w:rsid w:val="00206427"/>
    <w:rsid w:val="002103EF"/>
    <w:rsid w:val="00210A1E"/>
    <w:rsid w:val="00212AFF"/>
    <w:rsid w:val="00212C2E"/>
    <w:rsid w:val="002156C2"/>
    <w:rsid w:val="0021603B"/>
    <w:rsid w:val="00216998"/>
    <w:rsid w:val="002236DE"/>
    <w:rsid w:val="00223A96"/>
    <w:rsid w:val="00224EDB"/>
    <w:rsid w:val="00227086"/>
    <w:rsid w:val="002279A5"/>
    <w:rsid w:val="00232477"/>
    <w:rsid w:val="00232FDD"/>
    <w:rsid w:val="00233548"/>
    <w:rsid w:val="00234BF8"/>
    <w:rsid w:val="002412B8"/>
    <w:rsid w:val="00241B77"/>
    <w:rsid w:val="00242974"/>
    <w:rsid w:val="0024545B"/>
    <w:rsid w:val="00251DBE"/>
    <w:rsid w:val="00252CDF"/>
    <w:rsid w:val="00255043"/>
    <w:rsid w:val="00255842"/>
    <w:rsid w:val="002560A1"/>
    <w:rsid w:val="00263323"/>
    <w:rsid w:val="002716C4"/>
    <w:rsid w:val="00272547"/>
    <w:rsid w:val="0027683F"/>
    <w:rsid w:val="00282335"/>
    <w:rsid w:val="00282B5A"/>
    <w:rsid w:val="00283D66"/>
    <w:rsid w:val="00285EEF"/>
    <w:rsid w:val="00291054"/>
    <w:rsid w:val="002915E9"/>
    <w:rsid w:val="00294AFA"/>
    <w:rsid w:val="00294B0F"/>
    <w:rsid w:val="00295E85"/>
    <w:rsid w:val="002967FA"/>
    <w:rsid w:val="002973CD"/>
    <w:rsid w:val="002A0884"/>
    <w:rsid w:val="002A12FE"/>
    <w:rsid w:val="002A3698"/>
    <w:rsid w:val="002A4855"/>
    <w:rsid w:val="002A490A"/>
    <w:rsid w:val="002A6D4D"/>
    <w:rsid w:val="002A7846"/>
    <w:rsid w:val="002B0B56"/>
    <w:rsid w:val="002B4307"/>
    <w:rsid w:val="002B6C4A"/>
    <w:rsid w:val="002B7394"/>
    <w:rsid w:val="002C2ED6"/>
    <w:rsid w:val="002C78E9"/>
    <w:rsid w:val="002D127C"/>
    <w:rsid w:val="002D13DA"/>
    <w:rsid w:val="002D2166"/>
    <w:rsid w:val="002D33D4"/>
    <w:rsid w:val="002D3C05"/>
    <w:rsid w:val="002D5DD9"/>
    <w:rsid w:val="002D6C2D"/>
    <w:rsid w:val="002E21CA"/>
    <w:rsid w:val="002E5655"/>
    <w:rsid w:val="002E5DBE"/>
    <w:rsid w:val="002F1946"/>
    <w:rsid w:val="002F3BEF"/>
    <w:rsid w:val="002F67E7"/>
    <w:rsid w:val="0030140E"/>
    <w:rsid w:val="0030148F"/>
    <w:rsid w:val="003074B5"/>
    <w:rsid w:val="003128D0"/>
    <w:rsid w:val="00314134"/>
    <w:rsid w:val="0031464F"/>
    <w:rsid w:val="00316D19"/>
    <w:rsid w:val="00321E66"/>
    <w:rsid w:val="003232DB"/>
    <w:rsid w:val="00331303"/>
    <w:rsid w:val="00331F28"/>
    <w:rsid w:val="003367E8"/>
    <w:rsid w:val="00346238"/>
    <w:rsid w:val="00352D99"/>
    <w:rsid w:val="00354299"/>
    <w:rsid w:val="00357A2B"/>
    <w:rsid w:val="00360518"/>
    <w:rsid w:val="00364A85"/>
    <w:rsid w:val="0036654E"/>
    <w:rsid w:val="003677E2"/>
    <w:rsid w:val="00367F4B"/>
    <w:rsid w:val="00370F8A"/>
    <w:rsid w:val="00377F7E"/>
    <w:rsid w:val="003820C0"/>
    <w:rsid w:val="003823C1"/>
    <w:rsid w:val="00390119"/>
    <w:rsid w:val="003903D5"/>
    <w:rsid w:val="003911FC"/>
    <w:rsid w:val="00393943"/>
    <w:rsid w:val="00393C07"/>
    <w:rsid w:val="00393EF8"/>
    <w:rsid w:val="0039414E"/>
    <w:rsid w:val="00394BBB"/>
    <w:rsid w:val="00394E82"/>
    <w:rsid w:val="00395C4B"/>
    <w:rsid w:val="003966F5"/>
    <w:rsid w:val="00397EAF"/>
    <w:rsid w:val="003A4E3C"/>
    <w:rsid w:val="003A5E67"/>
    <w:rsid w:val="003B4CB9"/>
    <w:rsid w:val="003B5859"/>
    <w:rsid w:val="003B7C1D"/>
    <w:rsid w:val="003C46D5"/>
    <w:rsid w:val="003D0DD1"/>
    <w:rsid w:val="003D2999"/>
    <w:rsid w:val="003D29E9"/>
    <w:rsid w:val="003D59C3"/>
    <w:rsid w:val="003D5D5A"/>
    <w:rsid w:val="003D652A"/>
    <w:rsid w:val="003D6740"/>
    <w:rsid w:val="003E0695"/>
    <w:rsid w:val="003E0AFA"/>
    <w:rsid w:val="003E49B8"/>
    <w:rsid w:val="003F095A"/>
    <w:rsid w:val="003F66E1"/>
    <w:rsid w:val="003F7109"/>
    <w:rsid w:val="00400FF5"/>
    <w:rsid w:val="004029A1"/>
    <w:rsid w:val="00403328"/>
    <w:rsid w:val="00403A64"/>
    <w:rsid w:val="00406835"/>
    <w:rsid w:val="00411924"/>
    <w:rsid w:val="00411C6C"/>
    <w:rsid w:val="004135D2"/>
    <w:rsid w:val="00416B89"/>
    <w:rsid w:val="00416BB8"/>
    <w:rsid w:val="00417957"/>
    <w:rsid w:val="00420E90"/>
    <w:rsid w:val="00423ADF"/>
    <w:rsid w:val="004258BC"/>
    <w:rsid w:val="00425FB1"/>
    <w:rsid w:val="00427618"/>
    <w:rsid w:val="0043166C"/>
    <w:rsid w:val="00433CD6"/>
    <w:rsid w:val="0043503E"/>
    <w:rsid w:val="004370B2"/>
    <w:rsid w:val="004371B5"/>
    <w:rsid w:val="00442690"/>
    <w:rsid w:val="004433D9"/>
    <w:rsid w:val="00443A5B"/>
    <w:rsid w:val="00445E1B"/>
    <w:rsid w:val="0044605D"/>
    <w:rsid w:val="0045019A"/>
    <w:rsid w:val="00450C67"/>
    <w:rsid w:val="00451415"/>
    <w:rsid w:val="00452563"/>
    <w:rsid w:val="004553AA"/>
    <w:rsid w:val="00456F51"/>
    <w:rsid w:val="004573FD"/>
    <w:rsid w:val="00464062"/>
    <w:rsid w:val="00466F2D"/>
    <w:rsid w:val="00471BAD"/>
    <w:rsid w:val="00471CF7"/>
    <w:rsid w:val="00472BD4"/>
    <w:rsid w:val="00474D75"/>
    <w:rsid w:val="00476979"/>
    <w:rsid w:val="0048031F"/>
    <w:rsid w:val="004843D3"/>
    <w:rsid w:val="00486861"/>
    <w:rsid w:val="00487010"/>
    <w:rsid w:val="004879F8"/>
    <w:rsid w:val="00490127"/>
    <w:rsid w:val="0049227C"/>
    <w:rsid w:val="004A2257"/>
    <w:rsid w:val="004A37A3"/>
    <w:rsid w:val="004A46D6"/>
    <w:rsid w:val="004B0FA3"/>
    <w:rsid w:val="004B1275"/>
    <w:rsid w:val="004B1C72"/>
    <w:rsid w:val="004B6867"/>
    <w:rsid w:val="004C181D"/>
    <w:rsid w:val="004D25C3"/>
    <w:rsid w:val="004D5824"/>
    <w:rsid w:val="004D5EC4"/>
    <w:rsid w:val="004D67E0"/>
    <w:rsid w:val="004D7EA9"/>
    <w:rsid w:val="004E09D5"/>
    <w:rsid w:val="004E100F"/>
    <w:rsid w:val="004E321B"/>
    <w:rsid w:val="004E3ADC"/>
    <w:rsid w:val="004E4656"/>
    <w:rsid w:val="004E7E35"/>
    <w:rsid w:val="004F0D74"/>
    <w:rsid w:val="004F1E38"/>
    <w:rsid w:val="004F2705"/>
    <w:rsid w:val="004F4149"/>
    <w:rsid w:val="005002ED"/>
    <w:rsid w:val="00500CCB"/>
    <w:rsid w:val="00502027"/>
    <w:rsid w:val="00503597"/>
    <w:rsid w:val="005076AF"/>
    <w:rsid w:val="00510E66"/>
    <w:rsid w:val="00510F97"/>
    <w:rsid w:val="0052066D"/>
    <w:rsid w:val="005229F7"/>
    <w:rsid w:val="00526CB8"/>
    <w:rsid w:val="00527336"/>
    <w:rsid w:val="00536F2F"/>
    <w:rsid w:val="00537193"/>
    <w:rsid w:val="0054007C"/>
    <w:rsid w:val="00540753"/>
    <w:rsid w:val="005467A5"/>
    <w:rsid w:val="0055165D"/>
    <w:rsid w:val="005541FB"/>
    <w:rsid w:val="00562847"/>
    <w:rsid w:val="00570FF8"/>
    <w:rsid w:val="005720F6"/>
    <w:rsid w:val="005729A5"/>
    <w:rsid w:val="00573C2E"/>
    <w:rsid w:val="00580FA0"/>
    <w:rsid w:val="00581342"/>
    <w:rsid w:val="005847B2"/>
    <w:rsid w:val="00584F32"/>
    <w:rsid w:val="00585865"/>
    <w:rsid w:val="005923B5"/>
    <w:rsid w:val="005A07C2"/>
    <w:rsid w:val="005A20FB"/>
    <w:rsid w:val="005A31B0"/>
    <w:rsid w:val="005A3438"/>
    <w:rsid w:val="005A3C92"/>
    <w:rsid w:val="005A43A5"/>
    <w:rsid w:val="005A60C0"/>
    <w:rsid w:val="005A612E"/>
    <w:rsid w:val="005A7312"/>
    <w:rsid w:val="005A7645"/>
    <w:rsid w:val="005B2BF2"/>
    <w:rsid w:val="005B3CDC"/>
    <w:rsid w:val="005B45F2"/>
    <w:rsid w:val="005B59CB"/>
    <w:rsid w:val="005B5CDC"/>
    <w:rsid w:val="005B7E98"/>
    <w:rsid w:val="005C53DC"/>
    <w:rsid w:val="005C63EC"/>
    <w:rsid w:val="005C6A82"/>
    <w:rsid w:val="005C7509"/>
    <w:rsid w:val="005D258D"/>
    <w:rsid w:val="005D7E32"/>
    <w:rsid w:val="005E413A"/>
    <w:rsid w:val="005E70DF"/>
    <w:rsid w:val="005F0D2C"/>
    <w:rsid w:val="005F202A"/>
    <w:rsid w:val="005F3CCA"/>
    <w:rsid w:val="005F3FFD"/>
    <w:rsid w:val="005F6B90"/>
    <w:rsid w:val="005F7D11"/>
    <w:rsid w:val="00604812"/>
    <w:rsid w:val="0061047C"/>
    <w:rsid w:val="0061125B"/>
    <w:rsid w:val="006121AC"/>
    <w:rsid w:val="0061288A"/>
    <w:rsid w:val="00614A48"/>
    <w:rsid w:val="00631895"/>
    <w:rsid w:val="00631C5E"/>
    <w:rsid w:val="00633180"/>
    <w:rsid w:val="00634960"/>
    <w:rsid w:val="00636037"/>
    <w:rsid w:val="0063797A"/>
    <w:rsid w:val="00641AD0"/>
    <w:rsid w:val="00642244"/>
    <w:rsid w:val="00644AE3"/>
    <w:rsid w:val="00645250"/>
    <w:rsid w:val="00645EF8"/>
    <w:rsid w:val="00646FCD"/>
    <w:rsid w:val="0065177E"/>
    <w:rsid w:val="0065230B"/>
    <w:rsid w:val="006536EB"/>
    <w:rsid w:val="00653CE5"/>
    <w:rsid w:val="006552C1"/>
    <w:rsid w:val="006558E8"/>
    <w:rsid w:val="006602F0"/>
    <w:rsid w:val="006607A1"/>
    <w:rsid w:val="00662670"/>
    <w:rsid w:val="006626A7"/>
    <w:rsid w:val="00662AA1"/>
    <w:rsid w:val="006643E9"/>
    <w:rsid w:val="00665EDE"/>
    <w:rsid w:val="00666C2C"/>
    <w:rsid w:val="00667881"/>
    <w:rsid w:val="00670015"/>
    <w:rsid w:val="00670A57"/>
    <w:rsid w:val="006735A1"/>
    <w:rsid w:val="0067417A"/>
    <w:rsid w:val="00674B94"/>
    <w:rsid w:val="00677C09"/>
    <w:rsid w:val="00677CFB"/>
    <w:rsid w:val="00681F1E"/>
    <w:rsid w:val="00683AC3"/>
    <w:rsid w:val="00684952"/>
    <w:rsid w:val="00685BB4"/>
    <w:rsid w:val="00690745"/>
    <w:rsid w:val="006930CC"/>
    <w:rsid w:val="00693765"/>
    <w:rsid w:val="006943D0"/>
    <w:rsid w:val="006952FA"/>
    <w:rsid w:val="006954F6"/>
    <w:rsid w:val="006A57EE"/>
    <w:rsid w:val="006A62FF"/>
    <w:rsid w:val="006A6CDE"/>
    <w:rsid w:val="006B0AC4"/>
    <w:rsid w:val="006B1378"/>
    <w:rsid w:val="006B3815"/>
    <w:rsid w:val="006B39A5"/>
    <w:rsid w:val="006B6F75"/>
    <w:rsid w:val="006B7B89"/>
    <w:rsid w:val="006B7FB7"/>
    <w:rsid w:val="006C1414"/>
    <w:rsid w:val="006C3462"/>
    <w:rsid w:val="006D1BDB"/>
    <w:rsid w:val="006D3C82"/>
    <w:rsid w:val="006E0CAF"/>
    <w:rsid w:val="006E25D1"/>
    <w:rsid w:val="006E3DDB"/>
    <w:rsid w:val="006E6C56"/>
    <w:rsid w:val="006E744E"/>
    <w:rsid w:val="006F2F9E"/>
    <w:rsid w:val="006F4A52"/>
    <w:rsid w:val="006F683B"/>
    <w:rsid w:val="006F7CF8"/>
    <w:rsid w:val="00700DFB"/>
    <w:rsid w:val="0070768E"/>
    <w:rsid w:val="00715630"/>
    <w:rsid w:val="0071608A"/>
    <w:rsid w:val="007164C5"/>
    <w:rsid w:val="0072125B"/>
    <w:rsid w:val="0072291F"/>
    <w:rsid w:val="00722CEF"/>
    <w:rsid w:val="007236AC"/>
    <w:rsid w:val="00723DBE"/>
    <w:rsid w:val="00724DCF"/>
    <w:rsid w:val="00727DC4"/>
    <w:rsid w:val="00727E52"/>
    <w:rsid w:val="00733766"/>
    <w:rsid w:val="00733C6F"/>
    <w:rsid w:val="007364B5"/>
    <w:rsid w:val="0073660F"/>
    <w:rsid w:val="0073672E"/>
    <w:rsid w:val="00742F85"/>
    <w:rsid w:val="00743FD8"/>
    <w:rsid w:val="00746EBC"/>
    <w:rsid w:val="00747E1F"/>
    <w:rsid w:val="007514F1"/>
    <w:rsid w:val="0075177E"/>
    <w:rsid w:val="007527CF"/>
    <w:rsid w:val="00752EA7"/>
    <w:rsid w:val="00753C3B"/>
    <w:rsid w:val="00754F7A"/>
    <w:rsid w:val="007561D6"/>
    <w:rsid w:val="007562DF"/>
    <w:rsid w:val="00757FA3"/>
    <w:rsid w:val="0076146F"/>
    <w:rsid w:val="00761CD3"/>
    <w:rsid w:val="00762F4F"/>
    <w:rsid w:val="007633F9"/>
    <w:rsid w:val="00765A41"/>
    <w:rsid w:val="007664E0"/>
    <w:rsid w:val="00767B0A"/>
    <w:rsid w:val="00770ED2"/>
    <w:rsid w:val="0077127D"/>
    <w:rsid w:val="007807F0"/>
    <w:rsid w:val="007812CE"/>
    <w:rsid w:val="007835E0"/>
    <w:rsid w:val="00784E70"/>
    <w:rsid w:val="007869E4"/>
    <w:rsid w:val="00790B20"/>
    <w:rsid w:val="00793C05"/>
    <w:rsid w:val="00793DCA"/>
    <w:rsid w:val="00794ED7"/>
    <w:rsid w:val="00795879"/>
    <w:rsid w:val="00797720"/>
    <w:rsid w:val="007A03AE"/>
    <w:rsid w:val="007A1EC3"/>
    <w:rsid w:val="007A3BE8"/>
    <w:rsid w:val="007A57FF"/>
    <w:rsid w:val="007A6569"/>
    <w:rsid w:val="007B05D2"/>
    <w:rsid w:val="007B2BDF"/>
    <w:rsid w:val="007B56CD"/>
    <w:rsid w:val="007B5B5B"/>
    <w:rsid w:val="007B604A"/>
    <w:rsid w:val="007B68C8"/>
    <w:rsid w:val="007C1A2C"/>
    <w:rsid w:val="007C34A0"/>
    <w:rsid w:val="007C55EA"/>
    <w:rsid w:val="007C735D"/>
    <w:rsid w:val="007D0052"/>
    <w:rsid w:val="007D0D78"/>
    <w:rsid w:val="007D2AE4"/>
    <w:rsid w:val="007D46B8"/>
    <w:rsid w:val="007D49EB"/>
    <w:rsid w:val="007D4D81"/>
    <w:rsid w:val="007E041C"/>
    <w:rsid w:val="007E12D6"/>
    <w:rsid w:val="007F122E"/>
    <w:rsid w:val="007F2C68"/>
    <w:rsid w:val="007F3DEA"/>
    <w:rsid w:val="007F4960"/>
    <w:rsid w:val="007F4F96"/>
    <w:rsid w:val="007F6EF3"/>
    <w:rsid w:val="007F7CA7"/>
    <w:rsid w:val="00806B02"/>
    <w:rsid w:val="00811939"/>
    <w:rsid w:val="008140B5"/>
    <w:rsid w:val="008146B2"/>
    <w:rsid w:val="00814BF9"/>
    <w:rsid w:val="00817148"/>
    <w:rsid w:val="0082709C"/>
    <w:rsid w:val="00827BD7"/>
    <w:rsid w:val="00827CD9"/>
    <w:rsid w:val="008307F1"/>
    <w:rsid w:val="00830B35"/>
    <w:rsid w:val="00831DCF"/>
    <w:rsid w:val="00832CC3"/>
    <w:rsid w:val="00834468"/>
    <w:rsid w:val="008375FF"/>
    <w:rsid w:val="008422B7"/>
    <w:rsid w:val="00844619"/>
    <w:rsid w:val="0084522A"/>
    <w:rsid w:val="00850B3E"/>
    <w:rsid w:val="008510E8"/>
    <w:rsid w:val="008533D7"/>
    <w:rsid w:val="00853695"/>
    <w:rsid w:val="00861BB1"/>
    <w:rsid w:val="00862DD7"/>
    <w:rsid w:val="00863321"/>
    <w:rsid w:val="00865BD6"/>
    <w:rsid w:val="00867F8D"/>
    <w:rsid w:val="008711A9"/>
    <w:rsid w:val="008725C4"/>
    <w:rsid w:val="00882EE3"/>
    <w:rsid w:val="008847B1"/>
    <w:rsid w:val="00884C7B"/>
    <w:rsid w:val="008871D1"/>
    <w:rsid w:val="008906B7"/>
    <w:rsid w:val="00892BB8"/>
    <w:rsid w:val="008A0C01"/>
    <w:rsid w:val="008A2D44"/>
    <w:rsid w:val="008A3BCF"/>
    <w:rsid w:val="008A4804"/>
    <w:rsid w:val="008A5480"/>
    <w:rsid w:val="008A55D6"/>
    <w:rsid w:val="008A7124"/>
    <w:rsid w:val="008B01CE"/>
    <w:rsid w:val="008B0AEB"/>
    <w:rsid w:val="008B4711"/>
    <w:rsid w:val="008B53F4"/>
    <w:rsid w:val="008B675B"/>
    <w:rsid w:val="008C0052"/>
    <w:rsid w:val="008C1086"/>
    <w:rsid w:val="008C4E2A"/>
    <w:rsid w:val="008C69A7"/>
    <w:rsid w:val="008C6E89"/>
    <w:rsid w:val="008C7320"/>
    <w:rsid w:val="008D308E"/>
    <w:rsid w:val="008D431B"/>
    <w:rsid w:val="008D4CA0"/>
    <w:rsid w:val="008D51AA"/>
    <w:rsid w:val="008D6360"/>
    <w:rsid w:val="008E053C"/>
    <w:rsid w:val="008E1416"/>
    <w:rsid w:val="008E19C9"/>
    <w:rsid w:val="008E269B"/>
    <w:rsid w:val="008E34C2"/>
    <w:rsid w:val="008E3CA3"/>
    <w:rsid w:val="008F0143"/>
    <w:rsid w:val="008F17CC"/>
    <w:rsid w:val="008F194E"/>
    <w:rsid w:val="008F1AF8"/>
    <w:rsid w:val="008F230D"/>
    <w:rsid w:val="008F50F4"/>
    <w:rsid w:val="008F53B0"/>
    <w:rsid w:val="008F5436"/>
    <w:rsid w:val="008F67CF"/>
    <w:rsid w:val="008F7BF0"/>
    <w:rsid w:val="00900C09"/>
    <w:rsid w:val="0090325A"/>
    <w:rsid w:val="009032BD"/>
    <w:rsid w:val="009043D7"/>
    <w:rsid w:val="009047B4"/>
    <w:rsid w:val="00905CB2"/>
    <w:rsid w:val="00906AF9"/>
    <w:rsid w:val="00907612"/>
    <w:rsid w:val="00907CC1"/>
    <w:rsid w:val="00910012"/>
    <w:rsid w:val="00911063"/>
    <w:rsid w:val="00914BA6"/>
    <w:rsid w:val="00915514"/>
    <w:rsid w:val="009201B8"/>
    <w:rsid w:val="00925FA2"/>
    <w:rsid w:val="00926363"/>
    <w:rsid w:val="009263DA"/>
    <w:rsid w:val="009304FF"/>
    <w:rsid w:val="00930A60"/>
    <w:rsid w:val="00931D81"/>
    <w:rsid w:val="00932052"/>
    <w:rsid w:val="0093212A"/>
    <w:rsid w:val="00933479"/>
    <w:rsid w:val="00940172"/>
    <w:rsid w:val="009410C0"/>
    <w:rsid w:val="00943F5F"/>
    <w:rsid w:val="009523A7"/>
    <w:rsid w:val="00955ADE"/>
    <w:rsid w:val="00956ECC"/>
    <w:rsid w:val="0096042F"/>
    <w:rsid w:val="009617B4"/>
    <w:rsid w:val="009645CA"/>
    <w:rsid w:val="00970830"/>
    <w:rsid w:val="0097126D"/>
    <w:rsid w:val="0097139E"/>
    <w:rsid w:val="0097460D"/>
    <w:rsid w:val="00975F30"/>
    <w:rsid w:val="0098122B"/>
    <w:rsid w:val="00985050"/>
    <w:rsid w:val="00985FC5"/>
    <w:rsid w:val="00991814"/>
    <w:rsid w:val="00994371"/>
    <w:rsid w:val="009A38C3"/>
    <w:rsid w:val="009A5859"/>
    <w:rsid w:val="009B146F"/>
    <w:rsid w:val="009B19DE"/>
    <w:rsid w:val="009B229B"/>
    <w:rsid w:val="009B22F3"/>
    <w:rsid w:val="009B32CD"/>
    <w:rsid w:val="009B7849"/>
    <w:rsid w:val="009C236C"/>
    <w:rsid w:val="009C4C6B"/>
    <w:rsid w:val="009C6E5E"/>
    <w:rsid w:val="009C79F9"/>
    <w:rsid w:val="009D0BB7"/>
    <w:rsid w:val="009D1B84"/>
    <w:rsid w:val="009D1D83"/>
    <w:rsid w:val="009D211F"/>
    <w:rsid w:val="009D38B1"/>
    <w:rsid w:val="009D39B1"/>
    <w:rsid w:val="009D47CD"/>
    <w:rsid w:val="009D4899"/>
    <w:rsid w:val="009D5395"/>
    <w:rsid w:val="009D5A40"/>
    <w:rsid w:val="009D773C"/>
    <w:rsid w:val="009E0372"/>
    <w:rsid w:val="009E079C"/>
    <w:rsid w:val="009E1D4E"/>
    <w:rsid w:val="009E287F"/>
    <w:rsid w:val="009E4E8E"/>
    <w:rsid w:val="009E7260"/>
    <w:rsid w:val="009E7532"/>
    <w:rsid w:val="009F0C18"/>
    <w:rsid w:val="009F33F8"/>
    <w:rsid w:val="009F4AAB"/>
    <w:rsid w:val="009F51BF"/>
    <w:rsid w:val="009F7A2D"/>
    <w:rsid w:val="00A032D1"/>
    <w:rsid w:val="00A03567"/>
    <w:rsid w:val="00A03C03"/>
    <w:rsid w:val="00A06D93"/>
    <w:rsid w:val="00A10103"/>
    <w:rsid w:val="00A125CA"/>
    <w:rsid w:val="00A12C67"/>
    <w:rsid w:val="00A13001"/>
    <w:rsid w:val="00A13C25"/>
    <w:rsid w:val="00A16567"/>
    <w:rsid w:val="00A17004"/>
    <w:rsid w:val="00A17E87"/>
    <w:rsid w:val="00A20CDA"/>
    <w:rsid w:val="00A232C1"/>
    <w:rsid w:val="00A23338"/>
    <w:rsid w:val="00A235FA"/>
    <w:rsid w:val="00A24DDC"/>
    <w:rsid w:val="00A30D35"/>
    <w:rsid w:val="00A3191A"/>
    <w:rsid w:val="00A32E58"/>
    <w:rsid w:val="00A34F9D"/>
    <w:rsid w:val="00A4241F"/>
    <w:rsid w:val="00A43E81"/>
    <w:rsid w:val="00A44345"/>
    <w:rsid w:val="00A45A6C"/>
    <w:rsid w:val="00A45AC4"/>
    <w:rsid w:val="00A4643F"/>
    <w:rsid w:val="00A570AB"/>
    <w:rsid w:val="00A609F4"/>
    <w:rsid w:val="00A652C0"/>
    <w:rsid w:val="00A6696A"/>
    <w:rsid w:val="00A673B2"/>
    <w:rsid w:val="00A67A39"/>
    <w:rsid w:val="00A71211"/>
    <w:rsid w:val="00A74EAB"/>
    <w:rsid w:val="00A75495"/>
    <w:rsid w:val="00A75A18"/>
    <w:rsid w:val="00A77014"/>
    <w:rsid w:val="00A81763"/>
    <w:rsid w:val="00A82469"/>
    <w:rsid w:val="00A83170"/>
    <w:rsid w:val="00A8347E"/>
    <w:rsid w:val="00A86D46"/>
    <w:rsid w:val="00A96EA9"/>
    <w:rsid w:val="00A9720D"/>
    <w:rsid w:val="00A975DC"/>
    <w:rsid w:val="00AA0FAD"/>
    <w:rsid w:val="00AA0FDF"/>
    <w:rsid w:val="00AA4F94"/>
    <w:rsid w:val="00AA6429"/>
    <w:rsid w:val="00AA6466"/>
    <w:rsid w:val="00AA67E0"/>
    <w:rsid w:val="00AA6B75"/>
    <w:rsid w:val="00AB0594"/>
    <w:rsid w:val="00AB5E69"/>
    <w:rsid w:val="00AC0815"/>
    <w:rsid w:val="00AC085D"/>
    <w:rsid w:val="00AC10B7"/>
    <w:rsid w:val="00AC17A7"/>
    <w:rsid w:val="00AC2B75"/>
    <w:rsid w:val="00AC3C91"/>
    <w:rsid w:val="00AC3D32"/>
    <w:rsid w:val="00AC59B3"/>
    <w:rsid w:val="00AC6C6A"/>
    <w:rsid w:val="00AC7958"/>
    <w:rsid w:val="00AC7A3E"/>
    <w:rsid w:val="00AC7A5B"/>
    <w:rsid w:val="00AD1668"/>
    <w:rsid w:val="00AD390F"/>
    <w:rsid w:val="00AD7321"/>
    <w:rsid w:val="00AE0A01"/>
    <w:rsid w:val="00AE30B2"/>
    <w:rsid w:val="00AE402C"/>
    <w:rsid w:val="00AE51CD"/>
    <w:rsid w:val="00AE6220"/>
    <w:rsid w:val="00AF0BC3"/>
    <w:rsid w:val="00B01721"/>
    <w:rsid w:val="00B02048"/>
    <w:rsid w:val="00B05D34"/>
    <w:rsid w:val="00B0712D"/>
    <w:rsid w:val="00B102F8"/>
    <w:rsid w:val="00B106D3"/>
    <w:rsid w:val="00B11634"/>
    <w:rsid w:val="00B11A18"/>
    <w:rsid w:val="00B23B85"/>
    <w:rsid w:val="00B255CC"/>
    <w:rsid w:val="00B32DED"/>
    <w:rsid w:val="00B348B1"/>
    <w:rsid w:val="00B40410"/>
    <w:rsid w:val="00B41FE3"/>
    <w:rsid w:val="00B42235"/>
    <w:rsid w:val="00B42C52"/>
    <w:rsid w:val="00B43256"/>
    <w:rsid w:val="00B43A08"/>
    <w:rsid w:val="00B46415"/>
    <w:rsid w:val="00B46A9E"/>
    <w:rsid w:val="00B4723F"/>
    <w:rsid w:val="00B52750"/>
    <w:rsid w:val="00B53760"/>
    <w:rsid w:val="00B546BE"/>
    <w:rsid w:val="00B549D7"/>
    <w:rsid w:val="00B54C07"/>
    <w:rsid w:val="00B573A1"/>
    <w:rsid w:val="00B576FF"/>
    <w:rsid w:val="00B62AA6"/>
    <w:rsid w:val="00B632FE"/>
    <w:rsid w:val="00B64A0B"/>
    <w:rsid w:val="00B64F03"/>
    <w:rsid w:val="00B6524F"/>
    <w:rsid w:val="00B66738"/>
    <w:rsid w:val="00B67699"/>
    <w:rsid w:val="00B717ED"/>
    <w:rsid w:val="00B7245A"/>
    <w:rsid w:val="00B74016"/>
    <w:rsid w:val="00B750AC"/>
    <w:rsid w:val="00B750C5"/>
    <w:rsid w:val="00B76DD6"/>
    <w:rsid w:val="00B76EFE"/>
    <w:rsid w:val="00B810FC"/>
    <w:rsid w:val="00B84445"/>
    <w:rsid w:val="00B877E3"/>
    <w:rsid w:val="00B90492"/>
    <w:rsid w:val="00B93296"/>
    <w:rsid w:val="00B9534D"/>
    <w:rsid w:val="00B961D7"/>
    <w:rsid w:val="00B979EF"/>
    <w:rsid w:val="00BA0BB3"/>
    <w:rsid w:val="00BA17D2"/>
    <w:rsid w:val="00BA1A62"/>
    <w:rsid w:val="00BA4D8C"/>
    <w:rsid w:val="00BA601F"/>
    <w:rsid w:val="00BA73EA"/>
    <w:rsid w:val="00BA752C"/>
    <w:rsid w:val="00BB22E0"/>
    <w:rsid w:val="00BB58C5"/>
    <w:rsid w:val="00BB6E61"/>
    <w:rsid w:val="00BB7785"/>
    <w:rsid w:val="00BB77D8"/>
    <w:rsid w:val="00BC186D"/>
    <w:rsid w:val="00BC2AD9"/>
    <w:rsid w:val="00BC4AF5"/>
    <w:rsid w:val="00BC61C2"/>
    <w:rsid w:val="00BD0156"/>
    <w:rsid w:val="00BD218F"/>
    <w:rsid w:val="00BD2814"/>
    <w:rsid w:val="00BD3C7A"/>
    <w:rsid w:val="00BD463E"/>
    <w:rsid w:val="00BD4814"/>
    <w:rsid w:val="00BD6003"/>
    <w:rsid w:val="00BE45AC"/>
    <w:rsid w:val="00BE5058"/>
    <w:rsid w:val="00BF3CB3"/>
    <w:rsid w:val="00BF536B"/>
    <w:rsid w:val="00BF7291"/>
    <w:rsid w:val="00BF7952"/>
    <w:rsid w:val="00C008D9"/>
    <w:rsid w:val="00C00A44"/>
    <w:rsid w:val="00C00E94"/>
    <w:rsid w:val="00C04F35"/>
    <w:rsid w:val="00C066E9"/>
    <w:rsid w:val="00C06EA3"/>
    <w:rsid w:val="00C10868"/>
    <w:rsid w:val="00C12C61"/>
    <w:rsid w:val="00C13A10"/>
    <w:rsid w:val="00C143FD"/>
    <w:rsid w:val="00C14D07"/>
    <w:rsid w:val="00C174E7"/>
    <w:rsid w:val="00C203B0"/>
    <w:rsid w:val="00C2137F"/>
    <w:rsid w:val="00C221AF"/>
    <w:rsid w:val="00C25215"/>
    <w:rsid w:val="00C36074"/>
    <w:rsid w:val="00C40BC4"/>
    <w:rsid w:val="00C423E9"/>
    <w:rsid w:val="00C4301A"/>
    <w:rsid w:val="00C43B85"/>
    <w:rsid w:val="00C4628F"/>
    <w:rsid w:val="00C46D20"/>
    <w:rsid w:val="00C471FD"/>
    <w:rsid w:val="00C50E6B"/>
    <w:rsid w:val="00C5185C"/>
    <w:rsid w:val="00C553A1"/>
    <w:rsid w:val="00C556AD"/>
    <w:rsid w:val="00C56393"/>
    <w:rsid w:val="00C566EB"/>
    <w:rsid w:val="00C63670"/>
    <w:rsid w:val="00C63837"/>
    <w:rsid w:val="00C648F2"/>
    <w:rsid w:val="00C67811"/>
    <w:rsid w:val="00C67D58"/>
    <w:rsid w:val="00C70D47"/>
    <w:rsid w:val="00C70EBB"/>
    <w:rsid w:val="00C7236A"/>
    <w:rsid w:val="00C748E8"/>
    <w:rsid w:val="00C75855"/>
    <w:rsid w:val="00C77BFA"/>
    <w:rsid w:val="00C77E7C"/>
    <w:rsid w:val="00C835A9"/>
    <w:rsid w:val="00C84217"/>
    <w:rsid w:val="00C844AD"/>
    <w:rsid w:val="00C85543"/>
    <w:rsid w:val="00C90685"/>
    <w:rsid w:val="00C906E1"/>
    <w:rsid w:val="00C90723"/>
    <w:rsid w:val="00C9173B"/>
    <w:rsid w:val="00C921E8"/>
    <w:rsid w:val="00C952C9"/>
    <w:rsid w:val="00C95316"/>
    <w:rsid w:val="00C96B3C"/>
    <w:rsid w:val="00CA2F90"/>
    <w:rsid w:val="00CA3D87"/>
    <w:rsid w:val="00CA69FF"/>
    <w:rsid w:val="00CA6A10"/>
    <w:rsid w:val="00CB0476"/>
    <w:rsid w:val="00CB12B9"/>
    <w:rsid w:val="00CB6AEB"/>
    <w:rsid w:val="00CC35F3"/>
    <w:rsid w:val="00CC5840"/>
    <w:rsid w:val="00CD0B3C"/>
    <w:rsid w:val="00CD315D"/>
    <w:rsid w:val="00CD4A4C"/>
    <w:rsid w:val="00CD4BD2"/>
    <w:rsid w:val="00CD4F60"/>
    <w:rsid w:val="00CE10B8"/>
    <w:rsid w:val="00CE1E2E"/>
    <w:rsid w:val="00CE2D6A"/>
    <w:rsid w:val="00CE6005"/>
    <w:rsid w:val="00CF3811"/>
    <w:rsid w:val="00CF6D9A"/>
    <w:rsid w:val="00D0076B"/>
    <w:rsid w:val="00D007AF"/>
    <w:rsid w:val="00D05A3D"/>
    <w:rsid w:val="00D1097C"/>
    <w:rsid w:val="00D12969"/>
    <w:rsid w:val="00D1298F"/>
    <w:rsid w:val="00D1593C"/>
    <w:rsid w:val="00D21B1C"/>
    <w:rsid w:val="00D222F5"/>
    <w:rsid w:val="00D25617"/>
    <w:rsid w:val="00D26A82"/>
    <w:rsid w:val="00D310ED"/>
    <w:rsid w:val="00D33429"/>
    <w:rsid w:val="00D410B5"/>
    <w:rsid w:val="00D415DC"/>
    <w:rsid w:val="00D4719E"/>
    <w:rsid w:val="00D47217"/>
    <w:rsid w:val="00D5139E"/>
    <w:rsid w:val="00D56D00"/>
    <w:rsid w:val="00D641EA"/>
    <w:rsid w:val="00D65F99"/>
    <w:rsid w:val="00D66A08"/>
    <w:rsid w:val="00D70A77"/>
    <w:rsid w:val="00D76FBF"/>
    <w:rsid w:val="00D77199"/>
    <w:rsid w:val="00D834E5"/>
    <w:rsid w:val="00D84FEF"/>
    <w:rsid w:val="00D8554F"/>
    <w:rsid w:val="00D857C0"/>
    <w:rsid w:val="00D86337"/>
    <w:rsid w:val="00D86DD8"/>
    <w:rsid w:val="00D91694"/>
    <w:rsid w:val="00D931D3"/>
    <w:rsid w:val="00D936F9"/>
    <w:rsid w:val="00D9491E"/>
    <w:rsid w:val="00D972B7"/>
    <w:rsid w:val="00DA0404"/>
    <w:rsid w:val="00DA0CCF"/>
    <w:rsid w:val="00DA0F46"/>
    <w:rsid w:val="00DA78E1"/>
    <w:rsid w:val="00DA7930"/>
    <w:rsid w:val="00DB3F68"/>
    <w:rsid w:val="00DB40B8"/>
    <w:rsid w:val="00DB470C"/>
    <w:rsid w:val="00DB6E83"/>
    <w:rsid w:val="00DC1205"/>
    <w:rsid w:val="00DC144E"/>
    <w:rsid w:val="00DC18A0"/>
    <w:rsid w:val="00DC74C9"/>
    <w:rsid w:val="00DC7B4C"/>
    <w:rsid w:val="00DD2091"/>
    <w:rsid w:val="00DD4040"/>
    <w:rsid w:val="00DD481D"/>
    <w:rsid w:val="00DD4AE4"/>
    <w:rsid w:val="00DD737D"/>
    <w:rsid w:val="00DD7520"/>
    <w:rsid w:val="00DD7FB0"/>
    <w:rsid w:val="00DE0B02"/>
    <w:rsid w:val="00DE1526"/>
    <w:rsid w:val="00DE1B17"/>
    <w:rsid w:val="00DE4D15"/>
    <w:rsid w:val="00DE51BE"/>
    <w:rsid w:val="00DE664E"/>
    <w:rsid w:val="00DF1AC4"/>
    <w:rsid w:val="00DF2B75"/>
    <w:rsid w:val="00DF2E93"/>
    <w:rsid w:val="00DF5789"/>
    <w:rsid w:val="00DF65E2"/>
    <w:rsid w:val="00DF7A25"/>
    <w:rsid w:val="00E00019"/>
    <w:rsid w:val="00E03152"/>
    <w:rsid w:val="00E034BB"/>
    <w:rsid w:val="00E054C2"/>
    <w:rsid w:val="00E10078"/>
    <w:rsid w:val="00E128D0"/>
    <w:rsid w:val="00E12AEF"/>
    <w:rsid w:val="00E130EE"/>
    <w:rsid w:val="00E207AE"/>
    <w:rsid w:val="00E21965"/>
    <w:rsid w:val="00E227B7"/>
    <w:rsid w:val="00E22B5C"/>
    <w:rsid w:val="00E22E7C"/>
    <w:rsid w:val="00E259E4"/>
    <w:rsid w:val="00E26324"/>
    <w:rsid w:val="00E26550"/>
    <w:rsid w:val="00E36220"/>
    <w:rsid w:val="00E41DA3"/>
    <w:rsid w:val="00E42306"/>
    <w:rsid w:val="00E43E8C"/>
    <w:rsid w:val="00E45CDE"/>
    <w:rsid w:val="00E50CFF"/>
    <w:rsid w:val="00E513E3"/>
    <w:rsid w:val="00E57393"/>
    <w:rsid w:val="00E60250"/>
    <w:rsid w:val="00E60556"/>
    <w:rsid w:val="00E67040"/>
    <w:rsid w:val="00E72D85"/>
    <w:rsid w:val="00E74619"/>
    <w:rsid w:val="00E76A62"/>
    <w:rsid w:val="00E8261E"/>
    <w:rsid w:val="00E84478"/>
    <w:rsid w:val="00E855C0"/>
    <w:rsid w:val="00E859A1"/>
    <w:rsid w:val="00E87CD4"/>
    <w:rsid w:val="00E9000D"/>
    <w:rsid w:val="00E917EF"/>
    <w:rsid w:val="00E94A67"/>
    <w:rsid w:val="00E94FF2"/>
    <w:rsid w:val="00E9589B"/>
    <w:rsid w:val="00E96C47"/>
    <w:rsid w:val="00E978E4"/>
    <w:rsid w:val="00EA05A6"/>
    <w:rsid w:val="00EA089A"/>
    <w:rsid w:val="00EA1A9A"/>
    <w:rsid w:val="00EA252C"/>
    <w:rsid w:val="00EB0D53"/>
    <w:rsid w:val="00EB1AD3"/>
    <w:rsid w:val="00EB4FBE"/>
    <w:rsid w:val="00EB5FEC"/>
    <w:rsid w:val="00EB7744"/>
    <w:rsid w:val="00EC4BE5"/>
    <w:rsid w:val="00ED24E5"/>
    <w:rsid w:val="00EE11AA"/>
    <w:rsid w:val="00EE2249"/>
    <w:rsid w:val="00EE2976"/>
    <w:rsid w:val="00EE477E"/>
    <w:rsid w:val="00EE71A0"/>
    <w:rsid w:val="00EF042C"/>
    <w:rsid w:val="00EF76C2"/>
    <w:rsid w:val="00F02A4B"/>
    <w:rsid w:val="00F03B5A"/>
    <w:rsid w:val="00F04FA3"/>
    <w:rsid w:val="00F10EB1"/>
    <w:rsid w:val="00F11BC9"/>
    <w:rsid w:val="00F12059"/>
    <w:rsid w:val="00F132DB"/>
    <w:rsid w:val="00F15602"/>
    <w:rsid w:val="00F1597E"/>
    <w:rsid w:val="00F17371"/>
    <w:rsid w:val="00F20EE2"/>
    <w:rsid w:val="00F2288A"/>
    <w:rsid w:val="00F31C28"/>
    <w:rsid w:val="00F32538"/>
    <w:rsid w:val="00F33B99"/>
    <w:rsid w:val="00F36CB8"/>
    <w:rsid w:val="00F43EF1"/>
    <w:rsid w:val="00F5390C"/>
    <w:rsid w:val="00F57273"/>
    <w:rsid w:val="00F57769"/>
    <w:rsid w:val="00F5797E"/>
    <w:rsid w:val="00F61B60"/>
    <w:rsid w:val="00F661A4"/>
    <w:rsid w:val="00F70E6B"/>
    <w:rsid w:val="00F761A1"/>
    <w:rsid w:val="00F76C9F"/>
    <w:rsid w:val="00F829B1"/>
    <w:rsid w:val="00F84573"/>
    <w:rsid w:val="00F85804"/>
    <w:rsid w:val="00F90FFD"/>
    <w:rsid w:val="00F91324"/>
    <w:rsid w:val="00F91D06"/>
    <w:rsid w:val="00F92195"/>
    <w:rsid w:val="00F929CC"/>
    <w:rsid w:val="00F92A30"/>
    <w:rsid w:val="00F92ECA"/>
    <w:rsid w:val="00F9408D"/>
    <w:rsid w:val="00F9732E"/>
    <w:rsid w:val="00F9787A"/>
    <w:rsid w:val="00FA2B10"/>
    <w:rsid w:val="00FA4851"/>
    <w:rsid w:val="00FA5755"/>
    <w:rsid w:val="00FB1156"/>
    <w:rsid w:val="00FB210C"/>
    <w:rsid w:val="00FB6057"/>
    <w:rsid w:val="00FB6634"/>
    <w:rsid w:val="00FC10B2"/>
    <w:rsid w:val="00FC1C68"/>
    <w:rsid w:val="00FC5FD8"/>
    <w:rsid w:val="00FD4103"/>
    <w:rsid w:val="00FD597A"/>
    <w:rsid w:val="00FD7057"/>
    <w:rsid w:val="00FE15C2"/>
    <w:rsid w:val="00FE1D51"/>
    <w:rsid w:val="00FE25EA"/>
    <w:rsid w:val="00FE373D"/>
    <w:rsid w:val="00FE4DA2"/>
    <w:rsid w:val="00FE69A1"/>
    <w:rsid w:val="00FF0BE3"/>
    <w:rsid w:val="00FF68CA"/>
    <w:rsid w:val="00FF6E1D"/>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51842A9"/>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Strong">
    <w:name w:val="Strong"/>
    <w:basedOn w:val="DefaultParagraphFont"/>
    <w:uiPriority w:val="22"/>
    <w:qFormat/>
    <w:rsid w:val="00A609F4"/>
    <w:rPr>
      <w:b/>
      <w:bCs/>
    </w:rPr>
  </w:style>
  <w:style w:type="paragraph" w:styleId="Caption">
    <w:name w:val="caption"/>
    <w:basedOn w:val="Normal"/>
    <w:next w:val="Normal"/>
    <w:uiPriority w:val="35"/>
    <w:unhideWhenUsed/>
    <w:qFormat/>
    <w:rsid w:val="00A609F4"/>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76A62"/>
    <w:rPr>
      <w:sz w:val="16"/>
      <w:szCs w:val="16"/>
    </w:rPr>
  </w:style>
  <w:style w:type="paragraph" w:styleId="CommentText">
    <w:name w:val="annotation text"/>
    <w:basedOn w:val="Normal"/>
    <w:link w:val="CommentTextChar"/>
    <w:uiPriority w:val="99"/>
    <w:unhideWhenUsed/>
    <w:rsid w:val="00E76A62"/>
    <w:rPr>
      <w:sz w:val="20"/>
    </w:rPr>
  </w:style>
  <w:style w:type="character" w:customStyle="1" w:styleId="CommentTextChar">
    <w:name w:val="Comment Text Char"/>
    <w:basedOn w:val="DefaultParagraphFont"/>
    <w:link w:val="CommentText"/>
    <w:uiPriority w:val="99"/>
    <w:rsid w:val="00E76A62"/>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E76A62"/>
    <w:rPr>
      <w:b/>
      <w:bCs/>
    </w:rPr>
  </w:style>
  <w:style w:type="character" w:customStyle="1" w:styleId="CommentSubjectChar">
    <w:name w:val="Comment Subject Char"/>
    <w:basedOn w:val="CommentTextChar"/>
    <w:link w:val="CommentSubject"/>
    <w:uiPriority w:val="99"/>
    <w:semiHidden/>
    <w:rsid w:val="00E76A62"/>
    <w:rPr>
      <w:rFonts w:ascii="Arial" w:eastAsia="Times New Roman" w:hAnsi="Arial" w:cs="Times New Roman"/>
      <w:b/>
      <w:bCs/>
      <w:spacing w:val="-3"/>
      <w:sz w:val="20"/>
      <w:szCs w:val="20"/>
    </w:rPr>
  </w:style>
  <w:style w:type="paragraph" w:styleId="FootnoteText">
    <w:name w:val="footnote text"/>
    <w:basedOn w:val="Normal"/>
    <w:link w:val="FootnoteTextChar"/>
    <w:uiPriority w:val="99"/>
    <w:semiHidden/>
    <w:unhideWhenUsed/>
    <w:rsid w:val="00AA6466"/>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semiHidden/>
    <w:rsid w:val="00AA6466"/>
    <w:rPr>
      <w:sz w:val="20"/>
      <w:szCs w:val="20"/>
    </w:rPr>
  </w:style>
  <w:style w:type="character" w:styleId="FootnoteReference">
    <w:name w:val="footnote reference"/>
    <w:basedOn w:val="DefaultParagraphFont"/>
    <w:uiPriority w:val="99"/>
    <w:semiHidden/>
    <w:unhideWhenUsed/>
    <w:rsid w:val="00AA6466"/>
    <w:rPr>
      <w:vertAlign w:val="superscript"/>
    </w:rPr>
  </w:style>
  <w:style w:type="character" w:styleId="FollowedHyperlink">
    <w:name w:val="FollowedHyperlink"/>
    <w:basedOn w:val="DefaultParagraphFont"/>
    <w:uiPriority w:val="99"/>
    <w:semiHidden/>
    <w:unhideWhenUsed/>
    <w:rsid w:val="0092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853228381">
      <w:bodyDiv w:val="1"/>
      <w:marLeft w:val="0"/>
      <w:marRight w:val="0"/>
      <w:marTop w:val="0"/>
      <w:marBottom w:val="0"/>
      <w:divBdr>
        <w:top w:val="none" w:sz="0" w:space="0" w:color="auto"/>
        <w:left w:val="none" w:sz="0" w:space="0" w:color="auto"/>
        <w:bottom w:val="none" w:sz="0" w:space="0" w:color="auto"/>
        <w:right w:val="none" w:sz="0" w:space="0" w:color="auto"/>
      </w:divBdr>
    </w:div>
    <w:div w:id="1978534722">
      <w:bodyDiv w:val="1"/>
      <w:marLeft w:val="0"/>
      <w:marRight w:val="0"/>
      <w:marTop w:val="0"/>
      <w:marBottom w:val="0"/>
      <w:divBdr>
        <w:top w:val="none" w:sz="0" w:space="0" w:color="auto"/>
        <w:left w:val="none" w:sz="0" w:space="0" w:color="auto"/>
        <w:bottom w:val="none" w:sz="0" w:space="0" w:color="auto"/>
        <w:right w:val="none" w:sz="0" w:space="0" w:color="auto"/>
      </w:divBdr>
      <w:divsChild>
        <w:div w:id="479154865">
          <w:marLeft w:val="0"/>
          <w:marRight w:val="0"/>
          <w:marTop w:val="240"/>
          <w:marBottom w:val="240"/>
          <w:divBdr>
            <w:top w:val="none" w:sz="0" w:space="0" w:color="auto"/>
            <w:left w:val="none" w:sz="0" w:space="0" w:color="auto"/>
            <w:bottom w:val="none" w:sz="0" w:space="0" w:color="auto"/>
            <w:right w:val="none" w:sz="0" w:space="0" w:color="auto"/>
          </w:divBdr>
        </w:div>
        <w:div w:id="1766530480">
          <w:marLeft w:val="0"/>
          <w:marRight w:val="0"/>
          <w:marTop w:val="240"/>
          <w:marBottom w:val="0"/>
          <w:divBdr>
            <w:top w:val="none" w:sz="0" w:space="0" w:color="auto"/>
            <w:left w:val="none" w:sz="0" w:space="0" w:color="auto"/>
            <w:bottom w:val="none" w:sz="0" w:space="0" w:color="auto"/>
            <w:right w:val="none" w:sz="0" w:space="0" w:color="auto"/>
          </w:divBdr>
          <w:divsChild>
            <w:div w:id="647973923">
              <w:marLeft w:val="0"/>
              <w:marRight w:val="0"/>
              <w:marTop w:val="0"/>
              <w:marBottom w:val="0"/>
              <w:divBdr>
                <w:top w:val="none" w:sz="0" w:space="0" w:color="auto"/>
                <w:left w:val="none" w:sz="0" w:space="0" w:color="auto"/>
                <w:bottom w:val="none" w:sz="0" w:space="0" w:color="auto"/>
                <w:right w:val="none" w:sz="0" w:space="0" w:color="auto"/>
              </w:divBdr>
              <w:divsChild>
                <w:div w:id="1555001275">
                  <w:marLeft w:val="0"/>
                  <w:marRight w:val="0"/>
                  <w:marTop w:val="240"/>
                  <w:marBottom w:val="0"/>
                  <w:divBdr>
                    <w:top w:val="none" w:sz="0" w:space="0" w:color="auto"/>
                    <w:left w:val="none" w:sz="0" w:space="0" w:color="auto"/>
                    <w:bottom w:val="none" w:sz="0" w:space="0" w:color="auto"/>
                    <w:right w:val="none" w:sz="0" w:space="0" w:color="auto"/>
                  </w:divBdr>
                  <w:divsChild>
                    <w:div w:id="1865289294">
                      <w:marLeft w:val="0"/>
                      <w:marRight w:val="0"/>
                      <w:marTop w:val="0"/>
                      <w:marBottom w:val="0"/>
                      <w:divBdr>
                        <w:top w:val="none" w:sz="0" w:space="0" w:color="auto"/>
                        <w:left w:val="none" w:sz="0" w:space="0" w:color="auto"/>
                        <w:bottom w:val="none" w:sz="0" w:space="0" w:color="auto"/>
                        <w:right w:val="none" w:sz="0" w:space="0" w:color="auto"/>
                      </w:divBdr>
                      <w:divsChild>
                        <w:div w:id="1877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984">
                  <w:marLeft w:val="0"/>
                  <w:marRight w:val="0"/>
                  <w:marTop w:val="240"/>
                  <w:marBottom w:val="0"/>
                  <w:divBdr>
                    <w:top w:val="none" w:sz="0" w:space="0" w:color="auto"/>
                    <w:left w:val="none" w:sz="0" w:space="0" w:color="auto"/>
                    <w:bottom w:val="none" w:sz="0" w:space="0" w:color="auto"/>
                    <w:right w:val="none" w:sz="0" w:space="0" w:color="auto"/>
                  </w:divBdr>
                  <w:divsChild>
                    <w:div w:id="401224648">
                      <w:marLeft w:val="0"/>
                      <w:marRight w:val="0"/>
                      <w:marTop w:val="0"/>
                      <w:marBottom w:val="0"/>
                      <w:divBdr>
                        <w:top w:val="none" w:sz="0" w:space="0" w:color="auto"/>
                        <w:left w:val="none" w:sz="0" w:space="0" w:color="auto"/>
                        <w:bottom w:val="none" w:sz="0" w:space="0" w:color="auto"/>
                        <w:right w:val="none" w:sz="0" w:space="0" w:color="auto"/>
                      </w:divBdr>
                      <w:divsChild>
                        <w:div w:id="340200633">
                          <w:marLeft w:val="0"/>
                          <w:marRight w:val="0"/>
                          <w:marTop w:val="0"/>
                          <w:marBottom w:val="0"/>
                          <w:divBdr>
                            <w:top w:val="none" w:sz="0" w:space="0" w:color="auto"/>
                            <w:left w:val="none" w:sz="0" w:space="0" w:color="auto"/>
                            <w:bottom w:val="none" w:sz="0" w:space="0" w:color="auto"/>
                            <w:right w:val="none" w:sz="0" w:space="0" w:color="auto"/>
                          </w:divBdr>
                        </w:div>
                      </w:divsChild>
                    </w:div>
                    <w:div w:id="636908926">
                      <w:marLeft w:val="0"/>
                      <w:marRight w:val="0"/>
                      <w:marTop w:val="240"/>
                      <w:marBottom w:val="0"/>
                      <w:divBdr>
                        <w:top w:val="none" w:sz="0" w:space="0" w:color="auto"/>
                        <w:left w:val="none" w:sz="0" w:space="0" w:color="auto"/>
                        <w:bottom w:val="none" w:sz="0" w:space="0" w:color="auto"/>
                        <w:right w:val="none" w:sz="0" w:space="0" w:color="auto"/>
                      </w:divBdr>
                      <w:divsChild>
                        <w:div w:id="354889278">
                          <w:marLeft w:val="0"/>
                          <w:marRight w:val="0"/>
                          <w:marTop w:val="0"/>
                          <w:marBottom w:val="0"/>
                          <w:divBdr>
                            <w:top w:val="none" w:sz="0" w:space="0" w:color="auto"/>
                            <w:left w:val="none" w:sz="0" w:space="0" w:color="auto"/>
                            <w:bottom w:val="none" w:sz="0" w:space="0" w:color="auto"/>
                            <w:right w:val="none" w:sz="0" w:space="0" w:color="auto"/>
                          </w:divBdr>
                          <w:divsChild>
                            <w:div w:id="5308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770">
                      <w:marLeft w:val="0"/>
                      <w:marRight w:val="0"/>
                      <w:marTop w:val="240"/>
                      <w:marBottom w:val="0"/>
                      <w:divBdr>
                        <w:top w:val="none" w:sz="0" w:space="0" w:color="auto"/>
                        <w:left w:val="none" w:sz="0" w:space="0" w:color="auto"/>
                        <w:bottom w:val="none" w:sz="0" w:space="0" w:color="auto"/>
                        <w:right w:val="none" w:sz="0" w:space="0" w:color="auto"/>
                      </w:divBdr>
                      <w:divsChild>
                        <w:div w:id="1384141038">
                          <w:marLeft w:val="0"/>
                          <w:marRight w:val="0"/>
                          <w:marTop w:val="0"/>
                          <w:marBottom w:val="0"/>
                          <w:divBdr>
                            <w:top w:val="none" w:sz="0" w:space="0" w:color="auto"/>
                            <w:left w:val="none" w:sz="0" w:space="0" w:color="auto"/>
                            <w:bottom w:val="none" w:sz="0" w:space="0" w:color="auto"/>
                            <w:right w:val="none" w:sz="0" w:space="0" w:color="auto"/>
                          </w:divBdr>
                          <w:divsChild>
                            <w:div w:id="2125801470">
                              <w:marLeft w:val="0"/>
                              <w:marRight w:val="0"/>
                              <w:marTop w:val="0"/>
                              <w:marBottom w:val="0"/>
                              <w:divBdr>
                                <w:top w:val="none" w:sz="0" w:space="0" w:color="auto"/>
                                <w:left w:val="none" w:sz="0" w:space="0" w:color="auto"/>
                                <w:bottom w:val="none" w:sz="0" w:space="0" w:color="auto"/>
                                <w:right w:val="none" w:sz="0" w:space="0" w:color="auto"/>
                              </w:divBdr>
                            </w:div>
                          </w:divsChild>
                        </w:div>
                        <w:div w:id="674452872">
                          <w:marLeft w:val="0"/>
                          <w:marRight w:val="0"/>
                          <w:marTop w:val="240"/>
                          <w:marBottom w:val="0"/>
                          <w:divBdr>
                            <w:top w:val="none" w:sz="0" w:space="0" w:color="auto"/>
                            <w:left w:val="none" w:sz="0" w:space="0" w:color="auto"/>
                            <w:bottom w:val="none" w:sz="0" w:space="0" w:color="auto"/>
                            <w:right w:val="none" w:sz="0" w:space="0" w:color="auto"/>
                          </w:divBdr>
                          <w:divsChild>
                            <w:div w:id="1812625681">
                              <w:marLeft w:val="0"/>
                              <w:marRight w:val="0"/>
                              <w:marTop w:val="0"/>
                              <w:marBottom w:val="0"/>
                              <w:divBdr>
                                <w:top w:val="none" w:sz="0" w:space="0" w:color="auto"/>
                                <w:left w:val="none" w:sz="0" w:space="0" w:color="auto"/>
                                <w:bottom w:val="none" w:sz="0" w:space="0" w:color="auto"/>
                                <w:right w:val="none" w:sz="0" w:space="0" w:color="auto"/>
                              </w:divBdr>
                              <w:divsChild>
                                <w:div w:id="14994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215">
                          <w:marLeft w:val="0"/>
                          <w:marRight w:val="0"/>
                          <w:marTop w:val="240"/>
                          <w:marBottom w:val="0"/>
                          <w:divBdr>
                            <w:top w:val="none" w:sz="0" w:space="0" w:color="auto"/>
                            <w:left w:val="none" w:sz="0" w:space="0" w:color="auto"/>
                            <w:bottom w:val="none" w:sz="0" w:space="0" w:color="auto"/>
                            <w:right w:val="none" w:sz="0" w:space="0" w:color="auto"/>
                          </w:divBdr>
                          <w:divsChild>
                            <w:div w:id="1527713038">
                              <w:marLeft w:val="0"/>
                              <w:marRight w:val="0"/>
                              <w:marTop w:val="0"/>
                              <w:marBottom w:val="0"/>
                              <w:divBdr>
                                <w:top w:val="none" w:sz="0" w:space="0" w:color="auto"/>
                                <w:left w:val="none" w:sz="0" w:space="0" w:color="auto"/>
                                <w:bottom w:val="none" w:sz="0" w:space="0" w:color="auto"/>
                                <w:right w:val="none" w:sz="0" w:space="0" w:color="auto"/>
                              </w:divBdr>
                              <w:divsChild>
                                <w:div w:id="14454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8830">
                  <w:marLeft w:val="0"/>
                  <w:marRight w:val="0"/>
                  <w:marTop w:val="240"/>
                  <w:marBottom w:val="0"/>
                  <w:divBdr>
                    <w:top w:val="none" w:sz="0" w:space="0" w:color="auto"/>
                    <w:left w:val="none" w:sz="0" w:space="0" w:color="auto"/>
                    <w:bottom w:val="none" w:sz="0" w:space="0" w:color="auto"/>
                    <w:right w:val="none" w:sz="0" w:space="0" w:color="auto"/>
                  </w:divBdr>
                  <w:divsChild>
                    <w:div w:id="970860598">
                      <w:marLeft w:val="0"/>
                      <w:marRight w:val="0"/>
                      <w:marTop w:val="0"/>
                      <w:marBottom w:val="0"/>
                      <w:divBdr>
                        <w:top w:val="none" w:sz="0" w:space="0" w:color="auto"/>
                        <w:left w:val="none" w:sz="0" w:space="0" w:color="auto"/>
                        <w:bottom w:val="none" w:sz="0" w:space="0" w:color="auto"/>
                        <w:right w:val="none" w:sz="0" w:space="0" w:color="auto"/>
                      </w:divBdr>
                      <w:divsChild>
                        <w:div w:id="506484170">
                          <w:marLeft w:val="0"/>
                          <w:marRight w:val="0"/>
                          <w:marTop w:val="0"/>
                          <w:marBottom w:val="0"/>
                          <w:divBdr>
                            <w:top w:val="none" w:sz="0" w:space="0" w:color="auto"/>
                            <w:left w:val="none" w:sz="0" w:space="0" w:color="auto"/>
                            <w:bottom w:val="none" w:sz="0" w:space="0" w:color="auto"/>
                            <w:right w:val="none" w:sz="0" w:space="0" w:color="auto"/>
                          </w:divBdr>
                        </w:div>
                      </w:divsChild>
                    </w:div>
                    <w:div w:id="1939483757">
                      <w:marLeft w:val="0"/>
                      <w:marRight w:val="0"/>
                      <w:marTop w:val="240"/>
                      <w:marBottom w:val="0"/>
                      <w:divBdr>
                        <w:top w:val="none" w:sz="0" w:space="0" w:color="auto"/>
                        <w:left w:val="none" w:sz="0" w:space="0" w:color="auto"/>
                        <w:bottom w:val="none" w:sz="0" w:space="0" w:color="auto"/>
                        <w:right w:val="none" w:sz="0" w:space="0" w:color="auto"/>
                      </w:divBdr>
                      <w:divsChild>
                        <w:div w:id="1029182435">
                          <w:marLeft w:val="0"/>
                          <w:marRight w:val="0"/>
                          <w:marTop w:val="0"/>
                          <w:marBottom w:val="0"/>
                          <w:divBdr>
                            <w:top w:val="none" w:sz="0" w:space="0" w:color="auto"/>
                            <w:left w:val="none" w:sz="0" w:space="0" w:color="auto"/>
                            <w:bottom w:val="none" w:sz="0" w:space="0" w:color="auto"/>
                            <w:right w:val="none" w:sz="0" w:space="0" w:color="auto"/>
                          </w:divBdr>
                          <w:divsChild>
                            <w:div w:id="654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755">
                      <w:marLeft w:val="0"/>
                      <w:marRight w:val="0"/>
                      <w:marTop w:val="240"/>
                      <w:marBottom w:val="0"/>
                      <w:divBdr>
                        <w:top w:val="none" w:sz="0" w:space="0" w:color="auto"/>
                        <w:left w:val="none" w:sz="0" w:space="0" w:color="auto"/>
                        <w:bottom w:val="none" w:sz="0" w:space="0" w:color="auto"/>
                        <w:right w:val="none" w:sz="0" w:space="0" w:color="auto"/>
                      </w:divBdr>
                      <w:divsChild>
                        <w:div w:id="1115559029">
                          <w:marLeft w:val="0"/>
                          <w:marRight w:val="0"/>
                          <w:marTop w:val="0"/>
                          <w:marBottom w:val="0"/>
                          <w:divBdr>
                            <w:top w:val="none" w:sz="0" w:space="0" w:color="auto"/>
                            <w:left w:val="none" w:sz="0" w:space="0" w:color="auto"/>
                            <w:bottom w:val="none" w:sz="0" w:space="0" w:color="auto"/>
                            <w:right w:val="none" w:sz="0" w:space="0" w:color="auto"/>
                          </w:divBdr>
                          <w:divsChild>
                            <w:div w:id="19407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7120">
                  <w:marLeft w:val="0"/>
                  <w:marRight w:val="0"/>
                  <w:marTop w:val="240"/>
                  <w:marBottom w:val="0"/>
                  <w:divBdr>
                    <w:top w:val="none" w:sz="0" w:space="0" w:color="auto"/>
                    <w:left w:val="none" w:sz="0" w:space="0" w:color="auto"/>
                    <w:bottom w:val="none" w:sz="0" w:space="0" w:color="auto"/>
                    <w:right w:val="none" w:sz="0" w:space="0" w:color="auto"/>
                  </w:divBdr>
                  <w:divsChild>
                    <w:div w:id="1629387342">
                      <w:marLeft w:val="0"/>
                      <w:marRight w:val="0"/>
                      <w:marTop w:val="0"/>
                      <w:marBottom w:val="0"/>
                      <w:divBdr>
                        <w:top w:val="none" w:sz="0" w:space="0" w:color="auto"/>
                        <w:left w:val="none" w:sz="0" w:space="0" w:color="auto"/>
                        <w:bottom w:val="none" w:sz="0" w:space="0" w:color="auto"/>
                        <w:right w:val="none" w:sz="0" w:space="0" w:color="auto"/>
                      </w:divBdr>
                      <w:divsChild>
                        <w:div w:id="1822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180">
                  <w:marLeft w:val="0"/>
                  <w:marRight w:val="0"/>
                  <w:marTop w:val="240"/>
                  <w:marBottom w:val="0"/>
                  <w:divBdr>
                    <w:top w:val="none" w:sz="0" w:space="0" w:color="auto"/>
                    <w:left w:val="none" w:sz="0" w:space="0" w:color="auto"/>
                    <w:bottom w:val="none" w:sz="0" w:space="0" w:color="auto"/>
                    <w:right w:val="none" w:sz="0" w:space="0" w:color="auto"/>
                  </w:divBdr>
                  <w:divsChild>
                    <w:div w:id="1895123467">
                      <w:marLeft w:val="0"/>
                      <w:marRight w:val="0"/>
                      <w:marTop w:val="0"/>
                      <w:marBottom w:val="0"/>
                      <w:divBdr>
                        <w:top w:val="none" w:sz="0" w:space="0" w:color="auto"/>
                        <w:left w:val="none" w:sz="0" w:space="0" w:color="auto"/>
                        <w:bottom w:val="none" w:sz="0" w:space="0" w:color="auto"/>
                        <w:right w:val="none" w:sz="0" w:space="0" w:color="auto"/>
                      </w:divBdr>
                      <w:divsChild>
                        <w:div w:id="1255015554">
                          <w:marLeft w:val="0"/>
                          <w:marRight w:val="0"/>
                          <w:marTop w:val="0"/>
                          <w:marBottom w:val="0"/>
                          <w:divBdr>
                            <w:top w:val="none" w:sz="0" w:space="0" w:color="auto"/>
                            <w:left w:val="none" w:sz="0" w:space="0" w:color="auto"/>
                            <w:bottom w:val="none" w:sz="0" w:space="0" w:color="auto"/>
                            <w:right w:val="none" w:sz="0" w:space="0" w:color="auto"/>
                          </w:divBdr>
                        </w:div>
                      </w:divsChild>
                    </w:div>
                    <w:div w:id="184681566">
                      <w:marLeft w:val="0"/>
                      <w:marRight w:val="0"/>
                      <w:marTop w:val="240"/>
                      <w:marBottom w:val="0"/>
                      <w:divBdr>
                        <w:top w:val="none" w:sz="0" w:space="0" w:color="auto"/>
                        <w:left w:val="none" w:sz="0" w:space="0" w:color="auto"/>
                        <w:bottom w:val="none" w:sz="0" w:space="0" w:color="auto"/>
                        <w:right w:val="none" w:sz="0" w:space="0" w:color="auto"/>
                      </w:divBdr>
                      <w:divsChild>
                        <w:div w:id="1933926567">
                          <w:marLeft w:val="0"/>
                          <w:marRight w:val="0"/>
                          <w:marTop w:val="0"/>
                          <w:marBottom w:val="0"/>
                          <w:divBdr>
                            <w:top w:val="none" w:sz="0" w:space="0" w:color="auto"/>
                            <w:left w:val="none" w:sz="0" w:space="0" w:color="auto"/>
                            <w:bottom w:val="none" w:sz="0" w:space="0" w:color="auto"/>
                            <w:right w:val="none" w:sz="0" w:space="0" w:color="auto"/>
                          </w:divBdr>
                          <w:divsChild>
                            <w:div w:id="363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00">
                      <w:marLeft w:val="0"/>
                      <w:marRight w:val="0"/>
                      <w:marTop w:val="240"/>
                      <w:marBottom w:val="0"/>
                      <w:divBdr>
                        <w:top w:val="none" w:sz="0" w:space="0" w:color="auto"/>
                        <w:left w:val="none" w:sz="0" w:space="0" w:color="auto"/>
                        <w:bottom w:val="none" w:sz="0" w:space="0" w:color="auto"/>
                        <w:right w:val="none" w:sz="0" w:space="0" w:color="auto"/>
                      </w:divBdr>
                      <w:divsChild>
                        <w:div w:id="1009255869">
                          <w:marLeft w:val="0"/>
                          <w:marRight w:val="0"/>
                          <w:marTop w:val="0"/>
                          <w:marBottom w:val="0"/>
                          <w:divBdr>
                            <w:top w:val="none" w:sz="0" w:space="0" w:color="auto"/>
                            <w:left w:val="none" w:sz="0" w:space="0" w:color="auto"/>
                            <w:bottom w:val="none" w:sz="0" w:space="0" w:color="auto"/>
                            <w:right w:val="none" w:sz="0" w:space="0" w:color="auto"/>
                          </w:divBdr>
                          <w:divsChild>
                            <w:div w:id="2153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8259-906D-4B24-95FB-9F167841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1695</Words>
  <Characters>9662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23</cp:revision>
  <cp:lastPrinted>2020-05-27T18:17:00Z</cp:lastPrinted>
  <dcterms:created xsi:type="dcterms:W3CDTF">2024-06-06T15:10:00Z</dcterms:created>
  <dcterms:modified xsi:type="dcterms:W3CDTF">2024-06-14T20:12:00Z</dcterms:modified>
</cp:coreProperties>
</file>