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F43C" w14:textId="1E86DA4E" w:rsidR="009B59C6" w:rsidRPr="00664830" w:rsidRDefault="00DB603C" w:rsidP="00664830">
      <w:pPr>
        <w:jc w:val="center"/>
        <w:rPr>
          <w:rFonts w:ascii="Arial" w:hAnsi="Arial" w:cs="Arial"/>
          <w:b/>
          <w:bCs/>
          <w:sz w:val="24"/>
          <w:szCs w:val="24"/>
        </w:rPr>
      </w:pPr>
      <w:r w:rsidRPr="00664830">
        <w:rPr>
          <w:rFonts w:ascii="Arial" w:hAnsi="Arial" w:cs="Arial"/>
          <w:b/>
          <w:bCs/>
          <w:sz w:val="24"/>
          <w:szCs w:val="24"/>
        </w:rPr>
        <w:t>Staff Report</w:t>
      </w:r>
    </w:p>
    <w:p w14:paraId="3671AB04" w14:textId="32739D72" w:rsidR="00DB603C" w:rsidRPr="00664830" w:rsidRDefault="00DB603C" w:rsidP="00664830">
      <w:pPr>
        <w:jc w:val="center"/>
        <w:rPr>
          <w:rFonts w:ascii="Arial" w:hAnsi="Arial" w:cs="Arial"/>
          <w:b/>
          <w:bCs/>
          <w:sz w:val="24"/>
          <w:szCs w:val="24"/>
        </w:rPr>
      </w:pPr>
      <w:r w:rsidRPr="00664830">
        <w:rPr>
          <w:rFonts w:ascii="Arial" w:hAnsi="Arial" w:cs="Arial"/>
          <w:b/>
          <w:bCs/>
          <w:sz w:val="24"/>
          <w:szCs w:val="24"/>
        </w:rPr>
        <w:t>Silvicultural Limitations for the Coastal Commission Special Treatment Areas within the Forest Practice Rules</w:t>
      </w:r>
    </w:p>
    <w:p w14:paraId="186BEBAB" w14:textId="34FCFC04" w:rsidR="00DB603C" w:rsidRPr="00664830" w:rsidRDefault="00DB603C" w:rsidP="00664830">
      <w:pPr>
        <w:jc w:val="center"/>
        <w:rPr>
          <w:rFonts w:ascii="Arial" w:hAnsi="Arial" w:cs="Arial"/>
          <w:b/>
          <w:bCs/>
          <w:sz w:val="24"/>
          <w:szCs w:val="24"/>
        </w:rPr>
      </w:pPr>
      <w:r w:rsidRPr="00664830">
        <w:rPr>
          <w:rFonts w:ascii="Arial" w:hAnsi="Arial" w:cs="Arial"/>
          <w:b/>
          <w:bCs/>
          <w:sz w:val="24"/>
          <w:szCs w:val="24"/>
        </w:rPr>
        <w:t>Management Committee</w:t>
      </w:r>
    </w:p>
    <w:p w14:paraId="685CF1E1" w14:textId="7C43DC04" w:rsidR="00DB603C" w:rsidRPr="00664830" w:rsidRDefault="00DB603C" w:rsidP="00664830">
      <w:pPr>
        <w:jc w:val="center"/>
        <w:rPr>
          <w:rFonts w:ascii="Arial" w:hAnsi="Arial" w:cs="Arial"/>
          <w:b/>
          <w:bCs/>
          <w:sz w:val="24"/>
          <w:szCs w:val="24"/>
        </w:rPr>
      </w:pPr>
      <w:r w:rsidRPr="00664830">
        <w:rPr>
          <w:rFonts w:ascii="Arial" w:hAnsi="Arial" w:cs="Arial"/>
          <w:b/>
          <w:bCs/>
          <w:sz w:val="24"/>
          <w:szCs w:val="24"/>
        </w:rPr>
        <w:t>August 16, 2022</w:t>
      </w:r>
    </w:p>
    <w:p w14:paraId="525C8B80" w14:textId="6F4C81DB" w:rsidR="00DB603C" w:rsidRPr="00664830" w:rsidRDefault="009C036F">
      <w:pPr>
        <w:rPr>
          <w:rFonts w:ascii="Arial" w:hAnsi="Arial" w:cs="Arial"/>
          <w:sz w:val="24"/>
          <w:szCs w:val="24"/>
        </w:rPr>
      </w:pPr>
      <w:r w:rsidRPr="00664830">
        <w:rPr>
          <w:rFonts w:ascii="Arial" w:hAnsi="Arial" w:cs="Arial"/>
          <w:sz w:val="24"/>
          <w:szCs w:val="24"/>
        </w:rPr>
        <w:t>The Forest Practice Rules</w:t>
      </w:r>
      <w:r w:rsidRPr="00664830">
        <w:rPr>
          <w:rStyle w:val="FootnoteReference"/>
          <w:rFonts w:ascii="Arial" w:hAnsi="Arial" w:cs="Arial"/>
          <w:sz w:val="24"/>
          <w:szCs w:val="24"/>
        </w:rPr>
        <w:footnoteReference w:id="1"/>
      </w:r>
      <w:r w:rsidR="007328F0" w:rsidRPr="00664830">
        <w:rPr>
          <w:rFonts w:ascii="Arial" w:hAnsi="Arial" w:cs="Arial"/>
          <w:sz w:val="24"/>
          <w:szCs w:val="24"/>
        </w:rPr>
        <w:t xml:space="preserve"> </w:t>
      </w:r>
      <w:r w:rsidR="00FC7ECC" w:rsidRPr="00664830">
        <w:rPr>
          <w:rFonts w:ascii="Arial" w:hAnsi="Arial" w:cs="Arial"/>
          <w:sz w:val="24"/>
          <w:szCs w:val="24"/>
        </w:rPr>
        <w:t>defines</w:t>
      </w:r>
      <w:r w:rsidR="007328F0" w:rsidRPr="00664830">
        <w:rPr>
          <w:rFonts w:ascii="Arial" w:hAnsi="Arial" w:cs="Arial"/>
          <w:sz w:val="24"/>
          <w:szCs w:val="24"/>
        </w:rPr>
        <w:t xml:space="preserve"> Coastal Commission Special Treatment Areas</w:t>
      </w:r>
      <w:r w:rsidR="00FC7ECC" w:rsidRPr="00664830">
        <w:rPr>
          <w:rStyle w:val="FootnoteReference"/>
          <w:rFonts w:ascii="Arial" w:hAnsi="Arial" w:cs="Arial"/>
          <w:sz w:val="24"/>
          <w:szCs w:val="24"/>
        </w:rPr>
        <w:footnoteReference w:id="2"/>
      </w:r>
      <w:r w:rsidR="00FC7ECC" w:rsidRPr="00664830">
        <w:rPr>
          <w:rFonts w:ascii="Arial" w:hAnsi="Arial" w:cs="Arial"/>
          <w:sz w:val="24"/>
          <w:szCs w:val="24"/>
        </w:rPr>
        <w:t xml:space="preserve"> </w:t>
      </w:r>
      <w:r w:rsidR="00AD1E33" w:rsidRPr="00664830">
        <w:rPr>
          <w:rFonts w:ascii="Arial" w:hAnsi="Arial" w:cs="Arial"/>
          <w:sz w:val="24"/>
          <w:szCs w:val="24"/>
        </w:rPr>
        <w:t xml:space="preserve">(CCSTA) </w:t>
      </w:r>
      <w:r w:rsidR="00FC7ECC" w:rsidRPr="00664830">
        <w:rPr>
          <w:rFonts w:ascii="Arial" w:hAnsi="Arial" w:cs="Arial"/>
          <w:sz w:val="24"/>
          <w:szCs w:val="24"/>
        </w:rPr>
        <w:t xml:space="preserve">as geographically distinct forest areas </w:t>
      </w:r>
      <w:r w:rsidR="00202E5C" w:rsidRPr="00664830">
        <w:rPr>
          <w:rFonts w:ascii="Arial" w:hAnsi="Arial" w:cs="Arial"/>
          <w:sz w:val="24"/>
          <w:szCs w:val="24"/>
        </w:rPr>
        <w:t>that were designated by the Coastal Commission for the role they play in certain ecological processes or in providing certain values or benefits. The regulation of Timber Operations</w:t>
      </w:r>
      <w:r w:rsidR="00202E5C" w:rsidRPr="00664830">
        <w:rPr>
          <w:rStyle w:val="FootnoteReference"/>
          <w:rFonts w:ascii="Arial" w:hAnsi="Arial" w:cs="Arial"/>
          <w:sz w:val="24"/>
          <w:szCs w:val="24"/>
        </w:rPr>
        <w:footnoteReference w:id="3"/>
      </w:r>
      <w:r w:rsidR="00202E5C" w:rsidRPr="00664830">
        <w:rPr>
          <w:rFonts w:ascii="Arial" w:hAnsi="Arial" w:cs="Arial"/>
          <w:sz w:val="24"/>
          <w:szCs w:val="24"/>
        </w:rPr>
        <w:t xml:space="preserve"> within these areas has certain unique requirements</w:t>
      </w:r>
      <w:r w:rsidR="00202E5C" w:rsidRPr="00664830">
        <w:rPr>
          <w:rStyle w:val="FootnoteReference"/>
          <w:rFonts w:ascii="Arial" w:hAnsi="Arial" w:cs="Arial"/>
          <w:sz w:val="24"/>
          <w:szCs w:val="24"/>
        </w:rPr>
        <w:footnoteReference w:id="4"/>
      </w:r>
      <w:r w:rsidR="00202E5C" w:rsidRPr="00664830">
        <w:rPr>
          <w:rFonts w:ascii="Arial" w:hAnsi="Arial" w:cs="Arial"/>
          <w:sz w:val="24"/>
          <w:szCs w:val="24"/>
        </w:rPr>
        <w:t xml:space="preserve"> which exist in addition to the “standard” regulation</w:t>
      </w:r>
      <w:r w:rsidR="00A616D4" w:rsidRPr="00664830">
        <w:rPr>
          <w:rFonts w:ascii="Arial" w:hAnsi="Arial" w:cs="Arial"/>
          <w:sz w:val="24"/>
          <w:szCs w:val="24"/>
        </w:rPr>
        <w:t>s</w:t>
      </w:r>
      <w:r w:rsidR="00202E5C" w:rsidRPr="00664830">
        <w:rPr>
          <w:rFonts w:ascii="Arial" w:hAnsi="Arial" w:cs="Arial"/>
          <w:sz w:val="24"/>
          <w:szCs w:val="24"/>
        </w:rPr>
        <w:t xml:space="preserve"> of individual forest districts.</w:t>
      </w:r>
      <w:r w:rsidR="00A616D4" w:rsidRPr="00664830">
        <w:rPr>
          <w:rFonts w:ascii="Arial" w:hAnsi="Arial" w:cs="Arial"/>
          <w:sz w:val="24"/>
          <w:szCs w:val="24"/>
        </w:rPr>
        <w:t xml:space="preserve"> </w:t>
      </w:r>
    </w:p>
    <w:p w14:paraId="01412BEE" w14:textId="52C6C4E0" w:rsidR="00AD1E33" w:rsidRPr="00664830" w:rsidRDefault="00AD1E33">
      <w:pPr>
        <w:rPr>
          <w:rFonts w:ascii="Arial" w:hAnsi="Arial" w:cs="Arial"/>
          <w:sz w:val="24"/>
          <w:szCs w:val="24"/>
        </w:rPr>
      </w:pPr>
      <w:r w:rsidRPr="00664830">
        <w:rPr>
          <w:rFonts w:ascii="Arial" w:hAnsi="Arial" w:cs="Arial"/>
          <w:sz w:val="24"/>
          <w:szCs w:val="24"/>
        </w:rPr>
        <w:t>Included within the specific rules for CCSTAs are limitations on the silvicultural methods that may be prescribed within these areas</w:t>
      </w:r>
      <w:r w:rsidRPr="00664830">
        <w:rPr>
          <w:rStyle w:val="FootnoteReference"/>
          <w:rFonts w:ascii="Arial" w:hAnsi="Arial" w:cs="Arial"/>
          <w:sz w:val="24"/>
          <w:szCs w:val="24"/>
        </w:rPr>
        <w:footnoteReference w:id="5"/>
      </w:r>
      <w:r w:rsidRPr="00664830">
        <w:rPr>
          <w:rFonts w:ascii="Arial" w:hAnsi="Arial" w:cs="Arial"/>
          <w:sz w:val="24"/>
          <w:szCs w:val="24"/>
        </w:rPr>
        <w:t>. These limitations were initially adopted by the Board, along with the rest of the CCSTA rules, in 1979</w:t>
      </w:r>
      <w:r w:rsidR="001D500E" w:rsidRPr="00664830">
        <w:rPr>
          <w:rFonts w:ascii="Arial" w:hAnsi="Arial" w:cs="Arial"/>
          <w:sz w:val="24"/>
          <w:szCs w:val="24"/>
        </w:rPr>
        <w:t xml:space="preserve"> </w:t>
      </w:r>
      <w:proofErr w:type="gramStart"/>
      <w:r w:rsidR="001D500E" w:rsidRPr="00664830">
        <w:rPr>
          <w:rFonts w:ascii="Arial" w:hAnsi="Arial" w:cs="Arial"/>
          <w:sz w:val="24"/>
          <w:szCs w:val="24"/>
        </w:rPr>
        <w:t>in order to</w:t>
      </w:r>
      <w:proofErr w:type="gramEnd"/>
      <w:r w:rsidR="001D500E" w:rsidRPr="00664830">
        <w:rPr>
          <w:rFonts w:ascii="Arial" w:hAnsi="Arial" w:cs="Arial"/>
          <w:sz w:val="24"/>
          <w:szCs w:val="24"/>
        </w:rPr>
        <w:t xml:space="preserve"> achieve the goal of </w:t>
      </w:r>
      <w:r w:rsidR="00BD7158" w:rsidRPr="00664830">
        <w:rPr>
          <w:rFonts w:ascii="Arial" w:hAnsi="Arial" w:cs="Arial"/>
          <w:sz w:val="24"/>
          <w:szCs w:val="24"/>
        </w:rPr>
        <w:t>“</w:t>
      </w:r>
      <w:r w:rsidR="001D500E" w:rsidRPr="00664830">
        <w:rPr>
          <w:rFonts w:ascii="Arial" w:hAnsi="Arial" w:cs="Arial"/>
          <w:sz w:val="24"/>
          <w:szCs w:val="24"/>
        </w:rPr>
        <w:t>retaining the general appearance of the forested area at all times</w:t>
      </w:r>
      <w:r w:rsidR="00BD7158" w:rsidRPr="00664830">
        <w:rPr>
          <w:rFonts w:ascii="Arial" w:hAnsi="Arial" w:cs="Arial"/>
          <w:sz w:val="24"/>
          <w:szCs w:val="24"/>
        </w:rPr>
        <w:t>”</w:t>
      </w:r>
      <w:r w:rsidR="001D500E" w:rsidRPr="00664830">
        <w:rPr>
          <w:rStyle w:val="FootnoteReference"/>
          <w:rFonts w:ascii="Arial" w:hAnsi="Arial" w:cs="Arial"/>
          <w:sz w:val="24"/>
          <w:szCs w:val="24"/>
        </w:rPr>
        <w:footnoteReference w:id="6"/>
      </w:r>
      <w:r w:rsidR="001D500E" w:rsidRPr="00664830">
        <w:rPr>
          <w:rFonts w:ascii="Arial" w:hAnsi="Arial" w:cs="Arial"/>
          <w:sz w:val="24"/>
          <w:szCs w:val="24"/>
        </w:rPr>
        <w:t>.</w:t>
      </w:r>
      <w:r w:rsidR="00BD7158" w:rsidRPr="00664830">
        <w:rPr>
          <w:rFonts w:ascii="Arial" w:hAnsi="Arial" w:cs="Arial"/>
          <w:sz w:val="24"/>
          <w:szCs w:val="24"/>
        </w:rPr>
        <w:t xml:space="preserve"> Though these regulations have received minor amendments since their initial adoption, they remain largely unchanged in prescribing the silvicultural methods allowed within the CCSTA, which are as follows:</w:t>
      </w:r>
    </w:p>
    <w:p w14:paraId="2E7BB432" w14:textId="44176272" w:rsidR="00BD7158" w:rsidRPr="00664830" w:rsidRDefault="00BD7158" w:rsidP="00BD7158">
      <w:pPr>
        <w:pStyle w:val="ListParagraph"/>
        <w:numPr>
          <w:ilvl w:val="0"/>
          <w:numId w:val="2"/>
        </w:numPr>
        <w:rPr>
          <w:rFonts w:ascii="Arial" w:hAnsi="Arial" w:cs="Arial"/>
          <w:sz w:val="24"/>
          <w:szCs w:val="24"/>
        </w:rPr>
      </w:pPr>
      <w:r w:rsidRPr="00664830">
        <w:rPr>
          <w:rFonts w:ascii="Arial" w:hAnsi="Arial" w:cs="Arial"/>
          <w:sz w:val="24"/>
          <w:szCs w:val="24"/>
        </w:rPr>
        <w:t>Commercial Thinning</w:t>
      </w:r>
    </w:p>
    <w:p w14:paraId="5028818A" w14:textId="7C7178F3" w:rsidR="00BD7158" w:rsidRPr="00664830" w:rsidRDefault="00BD7158" w:rsidP="00BD7158">
      <w:pPr>
        <w:pStyle w:val="ListParagraph"/>
        <w:numPr>
          <w:ilvl w:val="0"/>
          <w:numId w:val="2"/>
        </w:numPr>
        <w:rPr>
          <w:rFonts w:ascii="Arial" w:hAnsi="Arial" w:cs="Arial"/>
          <w:sz w:val="24"/>
          <w:szCs w:val="24"/>
        </w:rPr>
      </w:pPr>
      <w:r w:rsidRPr="00664830">
        <w:rPr>
          <w:rFonts w:ascii="Arial" w:hAnsi="Arial" w:cs="Arial"/>
          <w:sz w:val="24"/>
          <w:szCs w:val="24"/>
        </w:rPr>
        <w:t>Selection Methods</w:t>
      </w:r>
    </w:p>
    <w:p w14:paraId="2839EFAD" w14:textId="4A1BC964" w:rsidR="00BD7158" w:rsidRPr="00664830" w:rsidRDefault="00BD7158" w:rsidP="00BD7158">
      <w:pPr>
        <w:pStyle w:val="ListParagraph"/>
        <w:numPr>
          <w:ilvl w:val="0"/>
          <w:numId w:val="2"/>
        </w:numPr>
        <w:rPr>
          <w:rFonts w:ascii="Arial" w:hAnsi="Arial" w:cs="Arial"/>
          <w:sz w:val="24"/>
          <w:szCs w:val="24"/>
        </w:rPr>
      </w:pPr>
      <w:r w:rsidRPr="00664830">
        <w:rPr>
          <w:rFonts w:ascii="Arial" w:hAnsi="Arial" w:cs="Arial"/>
          <w:sz w:val="24"/>
          <w:szCs w:val="24"/>
        </w:rPr>
        <w:t>Sanitation-Salvage</w:t>
      </w:r>
    </w:p>
    <w:p w14:paraId="2709DA92" w14:textId="61CE2877" w:rsidR="00BD7158" w:rsidRPr="00664830" w:rsidRDefault="00BD7158" w:rsidP="00BD7158">
      <w:pPr>
        <w:pStyle w:val="ListParagraph"/>
        <w:numPr>
          <w:ilvl w:val="0"/>
          <w:numId w:val="2"/>
        </w:numPr>
        <w:rPr>
          <w:rFonts w:ascii="Arial" w:hAnsi="Arial" w:cs="Arial"/>
          <w:sz w:val="24"/>
          <w:szCs w:val="24"/>
        </w:rPr>
      </w:pPr>
      <w:r w:rsidRPr="00664830">
        <w:rPr>
          <w:rFonts w:ascii="Arial" w:hAnsi="Arial" w:cs="Arial"/>
          <w:sz w:val="24"/>
          <w:szCs w:val="24"/>
        </w:rPr>
        <w:t>Clearcutting</w:t>
      </w:r>
    </w:p>
    <w:p w14:paraId="3CF338B8" w14:textId="6F821AF6" w:rsidR="00BD7158" w:rsidRPr="00664830" w:rsidRDefault="00BD7158" w:rsidP="00BD7158">
      <w:pPr>
        <w:pStyle w:val="ListParagraph"/>
        <w:numPr>
          <w:ilvl w:val="0"/>
          <w:numId w:val="2"/>
        </w:numPr>
        <w:rPr>
          <w:rFonts w:ascii="Arial" w:hAnsi="Arial" w:cs="Arial"/>
          <w:sz w:val="24"/>
          <w:szCs w:val="24"/>
        </w:rPr>
      </w:pPr>
      <w:r w:rsidRPr="00664830">
        <w:rPr>
          <w:rFonts w:ascii="Arial" w:hAnsi="Arial" w:cs="Arial"/>
          <w:sz w:val="24"/>
          <w:szCs w:val="24"/>
        </w:rPr>
        <w:t>Rehabilitation</w:t>
      </w:r>
    </w:p>
    <w:p w14:paraId="6D513A10" w14:textId="3BB3C965" w:rsidR="00BD7158" w:rsidRPr="00664830" w:rsidRDefault="0069461F" w:rsidP="00BD7158">
      <w:pPr>
        <w:rPr>
          <w:rFonts w:ascii="Arial" w:hAnsi="Arial" w:cs="Arial"/>
          <w:sz w:val="24"/>
          <w:szCs w:val="24"/>
        </w:rPr>
      </w:pPr>
      <w:r w:rsidRPr="00664830">
        <w:rPr>
          <w:rFonts w:ascii="Arial" w:hAnsi="Arial" w:cs="Arial"/>
          <w:sz w:val="24"/>
          <w:szCs w:val="24"/>
        </w:rPr>
        <w:t>Additionally included with the initial adoption of the CCSTA silvicultural limitations were CCSTA specific stocking requirements which, much like the other CCSTA regulations, remain unchanged from the prescriptive standards which were established in 1979.</w:t>
      </w:r>
    </w:p>
    <w:p w14:paraId="5D3BB32F" w14:textId="23683F98" w:rsidR="0069461F" w:rsidRPr="00664830" w:rsidRDefault="0069461F" w:rsidP="00BD7158">
      <w:pPr>
        <w:rPr>
          <w:rFonts w:ascii="Arial" w:hAnsi="Arial" w:cs="Arial"/>
          <w:sz w:val="24"/>
          <w:szCs w:val="24"/>
        </w:rPr>
      </w:pPr>
      <w:r w:rsidRPr="00664830">
        <w:rPr>
          <w:rFonts w:ascii="Arial" w:hAnsi="Arial" w:cs="Arial"/>
          <w:sz w:val="24"/>
          <w:szCs w:val="24"/>
        </w:rPr>
        <w:t xml:space="preserve">Given that the Board has taken numerous to develop and refine tools and standards to provide for more resilient, healthy, and productive forests since 1979, such as the development of certain special prescriptions, </w:t>
      </w:r>
      <w:r w:rsidR="00CE7B73" w:rsidRPr="00664830">
        <w:rPr>
          <w:rFonts w:ascii="Arial" w:hAnsi="Arial" w:cs="Arial"/>
          <w:sz w:val="24"/>
          <w:szCs w:val="24"/>
        </w:rPr>
        <w:t xml:space="preserve">alternative prescriptions, </w:t>
      </w:r>
      <w:r w:rsidRPr="00664830">
        <w:rPr>
          <w:rFonts w:ascii="Arial" w:hAnsi="Arial" w:cs="Arial"/>
          <w:sz w:val="24"/>
          <w:szCs w:val="24"/>
        </w:rPr>
        <w:t>variable retention</w:t>
      </w:r>
      <w:r w:rsidR="00CE7B73" w:rsidRPr="00664830">
        <w:rPr>
          <w:rFonts w:ascii="Arial" w:hAnsi="Arial" w:cs="Arial"/>
          <w:sz w:val="24"/>
          <w:szCs w:val="24"/>
        </w:rPr>
        <w:t xml:space="preserve"> methods, and recent work in addressing outdated minimum resource conservation standards, which are still reflected within the CCSTA rules, it may be appropriate to examine the silvicultural requirements and limitations of the CCSTA in order to determine how well those provisions are achieving the purposes and goals of the Forest Practice Act</w:t>
      </w:r>
      <w:r w:rsidR="00CE7B73" w:rsidRPr="00664830">
        <w:rPr>
          <w:rStyle w:val="FootnoteReference"/>
          <w:rFonts w:ascii="Arial" w:hAnsi="Arial" w:cs="Arial"/>
          <w:sz w:val="24"/>
          <w:szCs w:val="24"/>
        </w:rPr>
        <w:footnoteReference w:id="7"/>
      </w:r>
      <w:r w:rsidR="00CE7B73" w:rsidRPr="00664830">
        <w:rPr>
          <w:rFonts w:ascii="Arial" w:hAnsi="Arial" w:cs="Arial"/>
          <w:sz w:val="24"/>
          <w:szCs w:val="24"/>
        </w:rPr>
        <w:t>.</w:t>
      </w:r>
    </w:p>
    <w:sectPr w:rsidR="0069461F" w:rsidRPr="00664830" w:rsidSect="00664830">
      <w:footerReference w:type="default" r:id="rId8"/>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12E2" w14:textId="77777777" w:rsidR="009C036F" w:rsidRDefault="009C036F" w:rsidP="009C036F">
      <w:pPr>
        <w:spacing w:after="0" w:line="240" w:lineRule="auto"/>
      </w:pPr>
      <w:r>
        <w:separator/>
      </w:r>
    </w:p>
  </w:endnote>
  <w:endnote w:type="continuationSeparator" w:id="0">
    <w:p w14:paraId="42FC673A" w14:textId="77777777" w:rsidR="009C036F" w:rsidRDefault="009C036F" w:rsidP="009C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A74" w14:textId="1CDADD2F" w:rsidR="004B6882" w:rsidRDefault="004B6882">
    <w:pPr>
      <w:pStyle w:val="Footer"/>
    </w:pPr>
    <w:r>
      <w:tab/>
    </w:r>
    <w:r>
      <w:tab/>
      <w:t>MGMT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7965" w14:textId="77777777" w:rsidR="009C036F" w:rsidRDefault="009C036F" w:rsidP="009C036F">
      <w:pPr>
        <w:spacing w:after="0" w:line="240" w:lineRule="auto"/>
      </w:pPr>
      <w:r>
        <w:separator/>
      </w:r>
    </w:p>
  </w:footnote>
  <w:footnote w:type="continuationSeparator" w:id="0">
    <w:p w14:paraId="36C37176" w14:textId="77777777" w:rsidR="009C036F" w:rsidRDefault="009C036F" w:rsidP="009C036F">
      <w:pPr>
        <w:spacing w:after="0" w:line="240" w:lineRule="auto"/>
      </w:pPr>
      <w:r>
        <w:continuationSeparator/>
      </w:r>
    </w:p>
  </w:footnote>
  <w:footnote w:id="1">
    <w:p w14:paraId="1CD9E38B" w14:textId="4F18A398" w:rsidR="009C036F" w:rsidRDefault="009C036F">
      <w:pPr>
        <w:pStyle w:val="FootnoteText"/>
      </w:pPr>
      <w:r>
        <w:rPr>
          <w:rStyle w:val="FootnoteReference"/>
        </w:rPr>
        <w:footnoteRef/>
      </w:r>
      <w:r>
        <w:t xml:space="preserve"> Chapter 4, Division 1.5, Title 14, </w:t>
      </w:r>
      <w:r w:rsidR="007328F0">
        <w:t>California Code of Regulations</w:t>
      </w:r>
    </w:p>
  </w:footnote>
  <w:footnote w:id="2">
    <w:p w14:paraId="753F5072" w14:textId="4B49FBF9" w:rsidR="00FC7ECC" w:rsidRDefault="00FC7ECC">
      <w:pPr>
        <w:pStyle w:val="FootnoteText"/>
      </w:pPr>
      <w:r>
        <w:rPr>
          <w:rStyle w:val="FootnoteReference"/>
        </w:rPr>
        <w:footnoteRef/>
      </w:r>
      <w:r>
        <w:t xml:space="preserve"> 14 CCR § 895.1</w:t>
      </w:r>
    </w:p>
  </w:footnote>
  <w:footnote w:id="3">
    <w:p w14:paraId="53020810" w14:textId="15BB6FD5" w:rsidR="00202E5C" w:rsidRDefault="00202E5C">
      <w:pPr>
        <w:pStyle w:val="FootnoteText"/>
      </w:pPr>
      <w:r>
        <w:rPr>
          <w:rStyle w:val="FootnoteReference"/>
        </w:rPr>
        <w:footnoteRef/>
      </w:r>
      <w:r>
        <w:t xml:space="preserve"> PRC 4527</w:t>
      </w:r>
    </w:p>
  </w:footnote>
  <w:footnote w:id="4">
    <w:p w14:paraId="236C1F0A" w14:textId="35EFFBB1" w:rsidR="00202E5C" w:rsidRDefault="00202E5C">
      <w:pPr>
        <w:pStyle w:val="FootnoteText"/>
      </w:pPr>
      <w:r>
        <w:rPr>
          <w:rStyle w:val="FootnoteReference"/>
        </w:rPr>
        <w:footnoteRef/>
      </w:r>
      <w:r>
        <w:t xml:space="preserve"> Article 11, Subchapters 4 and 6, Forest Practice Rules</w:t>
      </w:r>
    </w:p>
  </w:footnote>
  <w:footnote w:id="5">
    <w:p w14:paraId="5FAA8356" w14:textId="4F1FBF23" w:rsidR="00AD1E33" w:rsidRDefault="00AD1E33">
      <w:pPr>
        <w:pStyle w:val="FootnoteText"/>
      </w:pPr>
      <w:r>
        <w:rPr>
          <w:rStyle w:val="FootnoteReference"/>
        </w:rPr>
        <w:footnoteRef/>
      </w:r>
      <w:r>
        <w:t xml:space="preserve"> 14 CCCR § 921.3 and 961.3</w:t>
      </w:r>
    </w:p>
  </w:footnote>
  <w:footnote w:id="6">
    <w:p w14:paraId="245CD9A2" w14:textId="77777777" w:rsidR="001D500E" w:rsidRDefault="001D500E" w:rsidP="001D500E">
      <w:pPr>
        <w:pStyle w:val="FootnoteText"/>
      </w:pPr>
      <w:r>
        <w:rPr>
          <w:rStyle w:val="FootnoteReference"/>
        </w:rPr>
        <w:footnoteRef/>
      </w:r>
      <w:r>
        <w:t xml:space="preserve"> Board of Forestry Rulemaking File 001</w:t>
      </w:r>
    </w:p>
  </w:footnote>
  <w:footnote w:id="7">
    <w:p w14:paraId="715C796A" w14:textId="69FC03E6" w:rsidR="00CE7B73" w:rsidRDefault="00CE7B73">
      <w:pPr>
        <w:pStyle w:val="FootnoteText"/>
      </w:pPr>
      <w:r>
        <w:rPr>
          <w:rStyle w:val="FootnoteReference"/>
        </w:rPr>
        <w:footnoteRef/>
      </w:r>
      <w:r>
        <w:t xml:space="preserve"> </w:t>
      </w:r>
      <w:proofErr w:type="spellStart"/>
      <w:r>
        <w:t>Z’Berg-Nejedly</w:t>
      </w:r>
      <w:proofErr w:type="spellEnd"/>
      <w:r>
        <w:t xml:space="preserve"> Forest Practice Act of 1973, beginning with Section 4511, Chapter 8, Part 2, Division 4, Public Resources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653DA"/>
    <w:multiLevelType w:val="hybridMultilevel"/>
    <w:tmpl w:val="DD08253E"/>
    <w:lvl w:ilvl="0" w:tplc="92043112">
      <w:start w:val="9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C0C62"/>
    <w:multiLevelType w:val="hybridMultilevel"/>
    <w:tmpl w:val="7BA0459C"/>
    <w:lvl w:ilvl="0" w:tplc="92043112">
      <w:start w:val="9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5513802">
    <w:abstractNumId w:val="0"/>
  </w:num>
  <w:num w:numId="2" w16cid:durableId="204035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HJKu3CGki+7slcKArE7jFU/gH8RPOQ3ZtwnG28+QxQQNjusBt9wVamJiTB9ZZ+B8c9nqGh4EGS3IF014hmfhw==" w:salt="vaFxcNjMFCm6UGlOl2NZv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03C"/>
    <w:rsid w:val="001C612E"/>
    <w:rsid w:val="001D500E"/>
    <w:rsid w:val="00202E5C"/>
    <w:rsid w:val="00217C33"/>
    <w:rsid w:val="004B6882"/>
    <w:rsid w:val="00664830"/>
    <w:rsid w:val="0069461F"/>
    <w:rsid w:val="007328F0"/>
    <w:rsid w:val="009663BE"/>
    <w:rsid w:val="009B59C6"/>
    <w:rsid w:val="009C036F"/>
    <w:rsid w:val="00A616D4"/>
    <w:rsid w:val="00AD1E33"/>
    <w:rsid w:val="00BA36F2"/>
    <w:rsid w:val="00BD7158"/>
    <w:rsid w:val="00CE7B73"/>
    <w:rsid w:val="00DB603C"/>
    <w:rsid w:val="00FC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908C"/>
  <w15:chartTrackingRefBased/>
  <w15:docId w15:val="{EF9ADDA5-A2F5-4678-A7B6-B8B59784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36F"/>
    <w:rPr>
      <w:sz w:val="20"/>
      <w:szCs w:val="20"/>
    </w:rPr>
  </w:style>
  <w:style w:type="character" w:styleId="FootnoteReference">
    <w:name w:val="footnote reference"/>
    <w:basedOn w:val="DefaultParagraphFont"/>
    <w:uiPriority w:val="99"/>
    <w:semiHidden/>
    <w:unhideWhenUsed/>
    <w:rsid w:val="009C036F"/>
    <w:rPr>
      <w:vertAlign w:val="superscript"/>
    </w:rPr>
  </w:style>
  <w:style w:type="paragraph" w:styleId="ListParagraph">
    <w:name w:val="List Paragraph"/>
    <w:basedOn w:val="Normal"/>
    <w:uiPriority w:val="34"/>
    <w:qFormat/>
    <w:rsid w:val="00BD7158"/>
    <w:pPr>
      <w:ind w:left="720"/>
      <w:contextualSpacing/>
    </w:pPr>
  </w:style>
  <w:style w:type="paragraph" w:styleId="Header">
    <w:name w:val="header"/>
    <w:basedOn w:val="Normal"/>
    <w:link w:val="HeaderChar"/>
    <w:uiPriority w:val="99"/>
    <w:unhideWhenUsed/>
    <w:rsid w:val="004B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82"/>
  </w:style>
  <w:style w:type="paragraph" w:styleId="Footer">
    <w:name w:val="footer"/>
    <w:basedOn w:val="Normal"/>
    <w:link w:val="FooterChar"/>
    <w:uiPriority w:val="99"/>
    <w:unhideWhenUsed/>
    <w:rsid w:val="004B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E913-7DFB-4464-9871-66258DE4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313</Words>
  <Characters>1790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2</cp:revision>
  <dcterms:created xsi:type="dcterms:W3CDTF">2022-08-01T20:01:00Z</dcterms:created>
  <dcterms:modified xsi:type="dcterms:W3CDTF">2022-08-10T15:33:00Z</dcterms:modified>
</cp:coreProperties>
</file>