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374C54">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374C54">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374C54">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374C54">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374C54">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374C54">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374C54">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374C54">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374C54">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374C54">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374C54">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374C54">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374C54">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374C54">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374C54">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374C54">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374C54">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374C54">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6C7880AC"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2171EB">
              <w:rPr>
                <w:rFonts w:ascii="Arial Narrow" w:hAnsi="Arial Narrow" w:cs="Arial"/>
              </w:rPr>
              <w:t xml:space="preserve">San Juan Capistrano </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32FC341C"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890D6E">
              <w:rPr>
                <w:rFonts w:ascii="Arial Narrow" w:hAnsi="Arial Narrow" w:cs="Arial"/>
              </w:rPr>
              <w:t xml:space="preserve"> RVC</w:t>
            </w:r>
          </w:p>
        </w:tc>
        <w:tc>
          <w:tcPr>
            <w:tcW w:w="3556" w:type="dxa"/>
          </w:tcPr>
          <w:p w14:paraId="74A7EA7A" w14:textId="51BAE213"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890D6E">
              <w:rPr>
                <w:rFonts w:ascii="Arial Narrow" w:hAnsi="Arial Narrow" w:cs="Arial"/>
              </w:rPr>
              <w:t>8-30-2021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0598D2A"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890D6E">
              <w:rPr>
                <w:rFonts w:ascii="Arial Narrow" w:hAnsi="Arial Narrow" w:cs="Arial"/>
              </w:rPr>
              <w:t>Orange County</w:t>
            </w:r>
          </w:p>
        </w:tc>
        <w:tc>
          <w:tcPr>
            <w:tcW w:w="3381" w:type="dxa"/>
            <w:tcBorders>
              <w:bottom w:val="single" w:sz="4" w:space="0" w:color="808080"/>
            </w:tcBorders>
            <w:shd w:val="clear" w:color="auto" w:fill="auto"/>
          </w:tcPr>
          <w:p w14:paraId="50985711" w14:textId="4ED7689F"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890D6E">
              <w:rPr>
                <w:rFonts w:ascii="Arial Narrow" w:hAnsi="Arial Narrow" w:cs="Arial"/>
              </w:rPr>
              <w:t>Barkley Brian</w:t>
            </w:r>
          </w:p>
        </w:tc>
        <w:tc>
          <w:tcPr>
            <w:tcW w:w="3381" w:type="dxa"/>
            <w:tcBorders>
              <w:bottom w:val="single" w:sz="4" w:space="0" w:color="808080"/>
            </w:tcBorders>
            <w:shd w:val="clear" w:color="auto" w:fill="auto"/>
          </w:tcPr>
          <w:p w14:paraId="7F50FDDD" w14:textId="5DC3A827" w:rsidR="0043426F" w:rsidRPr="00F3602C" w:rsidRDefault="0043426F" w:rsidP="0063621B">
            <w:pPr>
              <w:spacing w:after="0"/>
              <w:rPr>
                <w:rFonts w:ascii="Arial Narrow" w:hAnsi="Arial Narrow" w:cs="Arial"/>
              </w:rPr>
            </w:pPr>
            <w:r w:rsidRPr="00F3602C">
              <w:rPr>
                <w:rFonts w:ascii="Arial Narrow" w:hAnsi="Arial Narrow" w:cs="Arial"/>
              </w:rPr>
              <w:t>UNIT CONTACT:</w:t>
            </w:r>
            <w:r w:rsidR="004C44BF">
              <w:rPr>
                <w:rFonts w:ascii="Arial Narrow" w:hAnsi="Arial Narrow" w:cs="Arial"/>
              </w:rPr>
              <w:t xml:space="preserve"> Nick Pivaroff </w:t>
            </w:r>
          </w:p>
        </w:tc>
        <w:tc>
          <w:tcPr>
            <w:tcW w:w="3556" w:type="dxa"/>
            <w:tcBorders>
              <w:bottom w:val="single" w:sz="4" w:space="0" w:color="808080"/>
            </w:tcBorders>
          </w:tcPr>
          <w:p w14:paraId="61280D8E" w14:textId="17E6933E"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890D6E">
              <w:rPr>
                <w:rFonts w:ascii="Arial Narrow" w:hAnsi="Arial Narrow" w:cs="Arial"/>
              </w:rPr>
              <w:t>8-31-2021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C5AE112" w:rsidR="0043426F"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YES</w:t>
            </w:r>
          </w:p>
        </w:tc>
        <w:tc>
          <w:tcPr>
            <w:tcW w:w="4797" w:type="dxa"/>
          </w:tcPr>
          <w:p w14:paraId="688BA5E2" w14:textId="77777777" w:rsidR="0043426F"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Figure 2-1: Wildfire Hazard Areas</w:t>
            </w:r>
          </w:p>
          <w:p w14:paraId="51F4B021" w14:textId="26079F73" w:rsidR="00890D6E"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Page, 6</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1B8886F2" w:rsidR="0043426F"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YES</w:t>
            </w:r>
          </w:p>
        </w:tc>
        <w:tc>
          <w:tcPr>
            <w:tcW w:w="4797" w:type="dxa"/>
          </w:tcPr>
          <w:p w14:paraId="5F0286F3" w14:textId="77777777" w:rsidR="0043426F"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2.1 Wildland and Urban Fires</w:t>
            </w:r>
          </w:p>
          <w:p w14:paraId="63C7CBA0" w14:textId="6BA03492" w:rsidR="00890D6E"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Page, 4</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28E5CDB6" w:rsidR="0043426F"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YES</w:t>
            </w:r>
          </w:p>
        </w:tc>
        <w:tc>
          <w:tcPr>
            <w:tcW w:w="4797" w:type="dxa"/>
          </w:tcPr>
          <w:p w14:paraId="6528BA62" w14:textId="77777777" w:rsidR="0043426F"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2.13Critical Facilities</w:t>
            </w:r>
          </w:p>
          <w:p w14:paraId="50FDABE1" w14:textId="5094D19F" w:rsidR="00890D6E"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Page, 30</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0D6A996" w:rsidR="0043426F" w:rsidRPr="001C4227" w:rsidRDefault="00EA6E62" w:rsidP="0043426F">
            <w:pPr>
              <w:spacing w:after="0"/>
              <w:rPr>
                <w:rFonts w:ascii="Arial Narrow" w:eastAsia="PMingLiU" w:hAnsi="Arial Narrow" w:cs="Arial"/>
                <w:sz w:val="22"/>
              </w:rPr>
            </w:pPr>
            <w:r w:rsidRPr="001C4227">
              <w:rPr>
                <w:rFonts w:ascii="Arial Narrow" w:eastAsia="PMingLiU" w:hAnsi="Arial Narrow" w:cs="Arial"/>
                <w:sz w:val="22"/>
              </w:rPr>
              <w:t>YES</w:t>
            </w:r>
          </w:p>
        </w:tc>
        <w:tc>
          <w:tcPr>
            <w:tcW w:w="4797" w:type="dxa"/>
          </w:tcPr>
          <w:p w14:paraId="044232F5" w14:textId="647FA2BB" w:rsidR="0043426F" w:rsidRPr="001C4227" w:rsidRDefault="00EA6E62" w:rsidP="0043426F">
            <w:pPr>
              <w:spacing w:after="0"/>
              <w:rPr>
                <w:rFonts w:ascii="Arial Narrow" w:eastAsia="PMingLiU" w:hAnsi="Arial Narrow" w:cs="Arial"/>
                <w:sz w:val="22"/>
              </w:rPr>
            </w:pPr>
            <w:r w:rsidRPr="001C4227">
              <w:rPr>
                <w:rFonts w:ascii="Arial Narrow" w:eastAsia="PMingLiU" w:hAnsi="Arial Narrow" w:cs="Arial"/>
                <w:sz w:val="22"/>
              </w:rPr>
              <w:t>2.10.1 Fire Services, Page 25</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1BDD08F7" w:rsidR="0043426F" w:rsidRPr="001C4227" w:rsidRDefault="001C5D86" w:rsidP="0043426F">
            <w:pPr>
              <w:spacing w:after="0"/>
              <w:rPr>
                <w:rFonts w:ascii="Arial Narrow" w:eastAsia="PMingLiU" w:hAnsi="Arial Narrow" w:cs="Arial"/>
                <w:sz w:val="22"/>
              </w:rPr>
            </w:pPr>
            <w:r w:rsidRPr="001C4227">
              <w:rPr>
                <w:rFonts w:ascii="Arial Narrow" w:eastAsia="PMingLiU" w:hAnsi="Arial Narrow" w:cs="Arial"/>
                <w:sz w:val="22"/>
              </w:rPr>
              <w:t>YES</w:t>
            </w:r>
          </w:p>
        </w:tc>
        <w:tc>
          <w:tcPr>
            <w:tcW w:w="4797" w:type="dxa"/>
          </w:tcPr>
          <w:p w14:paraId="2823EE17" w14:textId="77777777" w:rsidR="0043426F" w:rsidRPr="001C4227" w:rsidRDefault="001C5D86" w:rsidP="0043426F">
            <w:pPr>
              <w:spacing w:after="0"/>
              <w:rPr>
                <w:rFonts w:ascii="Arial Narrow" w:eastAsia="PMingLiU" w:hAnsi="Arial Narrow" w:cs="Arial"/>
                <w:sz w:val="22"/>
              </w:rPr>
            </w:pPr>
            <w:r w:rsidRPr="001C4227">
              <w:rPr>
                <w:rFonts w:ascii="Arial Narrow" w:eastAsia="PMingLiU" w:hAnsi="Arial Narrow" w:cs="Arial"/>
                <w:sz w:val="22"/>
              </w:rPr>
              <w:t>1.2 Relationship to General Plan Elements</w:t>
            </w:r>
          </w:p>
          <w:p w14:paraId="616CB475" w14:textId="77777777" w:rsidR="001C5D86" w:rsidRPr="001C4227" w:rsidRDefault="001C5D86" w:rsidP="0043426F">
            <w:pPr>
              <w:spacing w:after="0"/>
              <w:rPr>
                <w:rFonts w:ascii="Arial Narrow" w:eastAsia="PMingLiU" w:hAnsi="Arial Narrow" w:cs="Arial"/>
                <w:sz w:val="22"/>
              </w:rPr>
            </w:pPr>
            <w:r w:rsidRPr="001C4227">
              <w:rPr>
                <w:rFonts w:ascii="Arial Narrow" w:eastAsia="PMingLiU" w:hAnsi="Arial Narrow" w:cs="Arial"/>
                <w:sz w:val="22"/>
              </w:rPr>
              <w:t>1.3 Relationship to Other City Plans</w:t>
            </w:r>
          </w:p>
          <w:p w14:paraId="51608A38" w14:textId="77777777" w:rsidR="001C5D86" w:rsidRPr="001C4227" w:rsidRDefault="001C5D86" w:rsidP="0043426F">
            <w:pPr>
              <w:spacing w:after="0"/>
              <w:rPr>
                <w:rFonts w:ascii="Arial Narrow" w:eastAsia="PMingLiU" w:hAnsi="Arial Narrow" w:cs="Arial"/>
                <w:sz w:val="22"/>
              </w:rPr>
            </w:pPr>
            <w:r w:rsidRPr="001C4227">
              <w:rPr>
                <w:rFonts w:ascii="Arial Narrow" w:eastAsia="PMingLiU" w:hAnsi="Arial Narrow" w:cs="Arial"/>
                <w:sz w:val="22"/>
              </w:rPr>
              <w:t>1.3.1 Local Hazard Mitigation Plan</w:t>
            </w:r>
          </w:p>
          <w:p w14:paraId="4FD831DB" w14:textId="2A3ABF40" w:rsidR="001C5D86" w:rsidRPr="001C4227" w:rsidRDefault="001C5D86" w:rsidP="0043426F">
            <w:pPr>
              <w:spacing w:after="0"/>
              <w:rPr>
                <w:rFonts w:ascii="Arial Narrow" w:eastAsia="PMingLiU" w:hAnsi="Arial Narrow" w:cs="Arial"/>
                <w:sz w:val="22"/>
              </w:rPr>
            </w:pPr>
            <w:r w:rsidRPr="001C4227">
              <w:rPr>
                <w:rFonts w:ascii="Arial Narrow" w:eastAsia="PMingLiU" w:hAnsi="Arial Narrow" w:cs="Arial"/>
                <w:sz w:val="22"/>
              </w:rPr>
              <w:t xml:space="preserve">Page 1 &amp; 2 </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4AD0B59A" w:rsidR="00997A1C"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YES</w:t>
            </w:r>
          </w:p>
        </w:tc>
        <w:tc>
          <w:tcPr>
            <w:tcW w:w="4797" w:type="dxa"/>
          </w:tcPr>
          <w:p w14:paraId="58FF608F" w14:textId="5CC6B191" w:rsidR="00997A1C"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2.14Disaster and Evacuation Routes, Page 33</w:t>
            </w:r>
          </w:p>
          <w:p w14:paraId="4D96FAB1" w14:textId="5DB40AF0" w:rsidR="00890D6E"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Figure 2-12: Disaster and Evacuation Routes</w:t>
            </w:r>
          </w:p>
          <w:p w14:paraId="5F147426" w14:textId="12874753" w:rsidR="00890D6E"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Figure 2-13: Access to Evacuation Routes</w:t>
            </w:r>
          </w:p>
          <w:p w14:paraId="5EA29AA7" w14:textId="27934D0B" w:rsidR="00890D6E" w:rsidRPr="001C4227" w:rsidRDefault="00890D6E" w:rsidP="0043426F">
            <w:pPr>
              <w:spacing w:after="0"/>
              <w:rPr>
                <w:rFonts w:ascii="Arial Narrow" w:eastAsia="PMingLiU" w:hAnsi="Arial Narrow" w:cs="Arial"/>
                <w:sz w:val="22"/>
              </w:rPr>
            </w:pP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101A8D0C" w:rsidR="004322F0"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YES</w:t>
            </w:r>
          </w:p>
        </w:tc>
        <w:tc>
          <w:tcPr>
            <w:tcW w:w="4797" w:type="dxa"/>
          </w:tcPr>
          <w:p w14:paraId="50AE8FD4" w14:textId="77777777" w:rsidR="004322F0"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2.14Disaster and Evacuation Routes, Page 33</w:t>
            </w:r>
          </w:p>
          <w:p w14:paraId="148D377B" w14:textId="77777777" w:rsidR="00890D6E"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Figure 2-12: Disaster and Evacuation Routes</w:t>
            </w:r>
          </w:p>
          <w:p w14:paraId="094895CC" w14:textId="6B6E55C9" w:rsidR="00890D6E" w:rsidRPr="001C4227" w:rsidRDefault="00890D6E" w:rsidP="0043426F">
            <w:pPr>
              <w:spacing w:after="0"/>
              <w:rPr>
                <w:rFonts w:ascii="Arial Narrow" w:eastAsia="PMingLiU" w:hAnsi="Arial Narrow" w:cs="Arial"/>
                <w:sz w:val="22"/>
              </w:rPr>
            </w:pPr>
            <w:r w:rsidRPr="001C4227">
              <w:rPr>
                <w:rFonts w:ascii="Arial Narrow" w:eastAsia="PMingLiU" w:hAnsi="Arial Narrow" w:cs="Arial"/>
                <w:sz w:val="22"/>
              </w:rPr>
              <w:t>Figure 2-13: Access to Evacuation Routes</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2B9E288" w:rsidR="0043426F" w:rsidRDefault="0043426F">
      <w:pPr>
        <w:spacing w:after="0"/>
        <w:rPr>
          <w:rFonts w:eastAsia="PMingLiU" w:cs="Arial"/>
          <w:sz w:val="22"/>
        </w:rPr>
      </w:pPr>
    </w:p>
    <w:p w14:paraId="16341B3B" w14:textId="77777777" w:rsidR="0043426F" w:rsidRDefault="0043426F" w:rsidP="009D6C31">
      <w:pPr>
        <w:pStyle w:val="Heading2"/>
      </w:pPr>
      <w:bookmarkStart w:id="7" w:name="_Toc23168270"/>
      <w:r>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6766EEA" w:rsidR="0043426F" w:rsidRDefault="008F44D6" w:rsidP="0043426F">
            <w:pPr>
              <w:spacing w:after="0"/>
              <w:rPr>
                <w:rFonts w:ascii="Arial Narrow" w:eastAsia="Calibri" w:hAnsi="Arial Narrow"/>
              </w:rPr>
            </w:pPr>
            <w:r>
              <w:rPr>
                <w:rFonts w:ascii="Arial Narrow" w:eastAsia="Calibri" w:hAnsi="Arial Narrow"/>
              </w:rPr>
              <w:t>YES</w:t>
            </w:r>
          </w:p>
        </w:tc>
        <w:tc>
          <w:tcPr>
            <w:tcW w:w="4797" w:type="dxa"/>
          </w:tcPr>
          <w:p w14:paraId="5A130142" w14:textId="77777777" w:rsidR="0043426F" w:rsidRDefault="008F44D6" w:rsidP="0043426F">
            <w:pPr>
              <w:spacing w:after="0"/>
              <w:rPr>
                <w:rFonts w:ascii="Arial Narrow" w:eastAsia="Calibri" w:hAnsi="Arial Narrow"/>
              </w:rPr>
            </w:pPr>
            <w:r w:rsidRPr="00922429">
              <w:rPr>
                <w:rFonts w:ascii="Arial Narrow" w:eastAsia="Calibri" w:hAnsi="Arial Narrow"/>
                <w:b/>
                <w:bCs/>
              </w:rPr>
              <w:t>Policy 1.1:</w:t>
            </w:r>
            <w:r w:rsidRPr="008F44D6">
              <w:rPr>
                <w:rFonts w:ascii="Arial Narrow" w:eastAsia="Calibri" w:hAnsi="Arial Narrow"/>
              </w:rPr>
              <w:t xml:space="preserve"> Ensure that the City standards for fire protection for new development in Very High Fire Hazard Severity Zones meet or exceed the statewide minimums</w:t>
            </w:r>
          </w:p>
          <w:p w14:paraId="03F15DC6" w14:textId="76BAE72C" w:rsidR="008F44D6" w:rsidRDefault="008F44D6" w:rsidP="0043426F">
            <w:pPr>
              <w:spacing w:after="0"/>
              <w:rPr>
                <w:rFonts w:ascii="Arial Narrow" w:eastAsia="Calibri" w:hAnsi="Arial Narrow"/>
              </w:rPr>
            </w:pPr>
            <w:r>
              <w:rPr>
                <w:rFonts w:ascii="Arial Narrow" w:eastAsia="Calibri" w:hAnsi="Arial Narrow"/>
              </w:rPr>
              <w:t>Page, 36</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74506F9B" w:rsidR="0043426F" w:rsidRDefault="006D75FA" w:rsidP="0043426F">
            <w:pPr>
              <w:spacing w:after="0"/>
              <w:rPr>
                <w:rFonts w:ascii="Arial Narrow" w:eastAsia="Calibri" w:hAnsi="Arial Narrow"/>
              </w:rPr>
            </w:pPr>
            <w:r>
              <w:rPr>
                <w:rFonts w:ascii="Arial Narrow" w:eastAsia="Calibri" w:hAnsi="Arial Narrow"/>
              </w:rPr>
              <w:t>YES</w:t>
            </w:r>
          </w:p>
        </w:tc>
        <w:tc>
          <w:tcPr>
            <w:tcW w:w="4797" w:type="dxa"/>
          </w:tcPr>
          <w:p w14:paraId="4E3142ED" w14:textId="77777777" w:rsidR="006D75FA" w:rsidRPr="006D75FA" w:rsidRDefault="006D75FA" w:rsidP="006D75FA">
            <w:pPr>
              <w:spacing w:after="0"/>
              <w:rPr>
                <w:rFonts w:ascii="Arial Narrow" w:eastAsia="Calibri" w:hAnsi="Arial Narrow"/>
              </w:rPr>
            </w:pPr>
            <w:r w:rsidRPr="00CD747F">
              <w:rPr>
                <w:rFonts w:ascii="Arial Narrow" w:eastAsia="Calibri" w:hAnsi="Arial Narrow"/>
                <w:b/>
                <w:bCs/>
              </w:rPr>
              <w:t>Policy 1.2:</w:t>
            </w:r>
            <w:r w:rsidRPr="006D75FA">
              <w:rPr>
                <w:rFonts w:ascii="Arial Narrow" w:eastAsia="Calibri" w:hAnsi="Arial Narrow"/>
              </w:rPr>
              <w:t xml:space="preserve"> Minimize the approval of new residential subdivision developments in Very High</w:t>
            </w:r>
          </w:p>
          <w:p w14:paraId="5B502C81" w14:textId="07C5771C" w:rsidR="0043426F" w:rsidRDefault="006D75FA" w:rsidP="006D75FA">
            <w:pPr>
              <w:spacing w:after="0"/>
              <w:rPr>
                <w:rFonts w:ascii="Arial Narrow" w:eastAsia="Calibri" w:hAnsi="Arial Narrow"/>
              </w:rPr>
            </w:pPr>
            <w:r w:rsidRPr="006D75FA">
              <w:rPr>
                <w:rFonts w:ascii="Arial Narrow" w:eastAsia="Calibri" w:hAnsi="Arial Narrow"/>
              </w:rPr>
              <w:t>Fire Hazard Severity Zones when feasible.</w:t>
            </w:r>
            <w:r>
              <w:rPr>
                <w:rFonts w:ascii="Arial Narrow" w:eastAsia="Calibri" w:hAnsi="Arial Narrow"/>
              </w:rPr>
              <w:t xml:space="preserve"> Page 36</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183E5309" w:rsidR="0043426F" w:rsidRDefault="00DB47C1" w:rsidP="0043426F">
            <w:pPr>
              <w:spacing w:after="0"/>
              <w:rPr>
                <w:rFonts w:ascii="Arial Narrow" w:eastAsia="Calibri" w:hAnsi="Arial Narrow"/>
              </w:rPr>
            </w:pPr>
            <w:r>
              <w:rPr>
                <w:rFonts w:ascii="Arial Narrow" w:eastAsia="Calibri" w:hAnsi="Arial Narrow"/>
              </w:rPr>
              <w:t>YES</w:t>
            </w:r>
          </w:p>
        </w:tc>
        <w:tc>
          <w:tcPr>
            <w:tcW w:w="4797" w:type="dxa"/>
          </w:tcPr>
          <w:p w14:paraId="485D3066" w14:textId="1B26E296" w:rsidR="0043426F" w:rsidRDefault="00DB47C1" w:rsidP="0043426F">
            <w:pPr>
              <w:spacing w:after="0"/>
              <w:rPr>
                <w:rFonts w:ascii="Arial Narrow" w:eastAsia="Calibri" w:hAnsi="Arial Narrow"/>
              </w:rPr>
            </w:pPr>
            <w:r w:rsidRPr="00922429">
              <w:rPr>
                <w:rFonts w:ascii="Arial Narrow" w:eastAsia="Calibri" w:hAnsi="Arial Narrow"/>
                <w:b/>
                <w:bCs/>
              </w:rPr>
              <w:t>Policy 1.1</w:t>
            </w:r>
            <w:r w:rsidRPr="00DB47C1">
              <w:rPr>
                <w:rFonts w:ascii="Arial Narrow" w:eastAsia="Calibri" w:hAnsi="Arial Narrow"/>
              </w:rPr>
              <w:t>: Ensure that the City standards for fire protection for new development in Very High Fire Hazard Severity Zones meet or exceed the statewide minimums</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4BAF68D7" w:rsidR="0043426F" w:rsidRDefault="00DB47C1" w:rsidP="0043426F">
            <w:pPr>
              <w:spacing w:after="0"/>
              <w:rPr>
                <w:rFonts w:ascii="Arial Narrow" w:eastAsia="Calibri" w:hAnsi="Arial Narrow"/>
              </w:rPr>
            </w:pPr>
            <w:r>
              <w:rPr>
                <w:rFonts w:ascii="Arial Narrow" w:eastAsia="Calibri" w:hAnsi="Arial Narrow"/>
              </w:rPr>
              <w:t>YES</w:t>
            </w:r>
          </w:p>
        </w:tc>
        <w:tc>
          <w:tcPr>
            <w:tcW w:w="4797" w:type="dxa"/>
          </w:tcPr>
          <w:p w14:paraId="008D40CE" w14:textId="29F94968" w:rsidR="0043426F" w:rsidRDefault="00DB47C1" w:rsidP="0043426F">
            <w:pPr>
              <w:spacing w:after="0"/>
              <w:rPr>
                <w:rFonts w:ascii="Arial Narrow" w:eastAsia="Calibri" w:hAnsi="Arial Narrow"/>
              </w:rPr>
            </w:pPr>
            <w:r w:rsidRPr="00922429">
              <w:rPr>
                <w:rFonts w:ascii="Arial Narrow" w:eastAsia="Calibri" w:hAnsi="Arial Narrow"/>
                <w:b/>
                <w:bCs/>
              </w:rPr>
              <w:t>2.13Critical Facilities</w:t>
            </w:r>
            <w:r>
              <w:rPr>
                <w:rFonts w:ascii="Arial Narrow" w:eastAsia="Calibri" w:hAnsi="Arial Narrow"/>
              </w:rPr>
              <w:t>, Part of the LHMP</w:t>
            </w:r>
          </w:p>
          <w:p w14:paraId="337A571B" w14:textId="54FADA44" w:rsidR="00DB47C1" w:rsidRDefault="00DB47C1" w:rsidP="0043426F">
            <w:pPr>
              <w:spacing w:after="0"/>
              <w:rPr>
                <w:rFonts w:ascii="Arial Narrow" w:eastAsia="Calibri" w:hAnsi="Arial Narrow"/>
              </w:rPr>
            </w:pPr>
            <w:r w:rsidRPr="00DB47C1">
              <w:rPr>
                <w:rFonts w:ascii="Arial Narrow" w:eastAsia="Calibri" w:hAnsi="Arial Narrow"/>
              </w:rPr>
              <w:t>Figure 2-11: Critical Facilities</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76A287CC" w:rsidR="0043426F" w:rsidRDefault="00462DB8" w:rsidP="0043426F">
            <w:pPr>
              <w:spacing w:after="0"/>
              <w:rPr>
                <w:rFonts w:ascii="Arial Narrow" w:eastAsia="Calibri" w:hAnsi="Arial Narrow"/>
              </w:rPr>
            </w:pPr>
            <w:r>
              <w:rPr>
                <w:rFonts w:ascii="Arial Narrow" w:eastAsia="Calibri" w:hAnsi="Arial Narrow"/>
              </w:rPr>
              <w:t>YES</w:t>
            </w:r>
          </w:p>
        </w:tc>
        <w:tc>
          <w:tcPr>
            <w:tcW w:w="4797" w:type="dxa"/>
          </w:tcPr>
          <w:p w14:paraId="1910C9B5" w14:textId="77777777" w:rsidR="0043426F" w:rsidRDefault="00462DB8" w:rsidP="0043426F">
            <w:pPr>
              <w:spacing w:after="0"/>
              <w:rPr>
                <w:rFonts w:ascii="Arial Narrow" w:eastAsia="Calibri" w:hAnsi="Arial Narrow"/>
              </w:rPr>
            </w:pPr>
            <w:r w:rsidRPr="00922429">
              <w:rPr>
                <w:rFonts w:ascii="Arial Narrow" w:eastAsia="Calibri" w:hAnsi="Arial Narrow"/>
                <w:b/>
                <w:bCs/>
              </w:rPr>
              <w:t>Policy 1.3</w:t>
            </w:r>
            <w:r w:rsidRPr="00462DB8">
              <w:rPr>
                <w:rFonts w:ascii="Arial Narrow" w:eastAsia="Calibri" w:hAnsi="Arial Narrow"/>
              </w:rPr>
              <w:t>: Encourage property owners to incorporate fire-safe and erosion-safe design during new development or major renovations.</w:t>
            </w:r>
          </w:p>
          <w:p w14:paraId="357CEE4A" w14:textId="4DE25DCB" w:rsidR="00462DB8" w:rsidRDefault="00462DB8" w:rsidP="0043426F">
            <w:pPr>
              <w:spacing w:after="0"/>
              <w:rPr>
                <w:rFonts w:ascii="Arial Narrow" w:eastAsia="Calibri" w:hAnsi="Arial Narrow"/>
              </w:rPr>
            </w:pPr>
            <w:r>
              <w:rPr>
                <w:rFonts w:ascii="Arial Narrow" w:eastAsia="Calibri" w:hAnsi="Arial Narrow"/>
              </w:rPr>
              <w:t>Page 36</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65217A6D" w:rsidR="0043426F" w:rsidRDefault="006D75FA" w:rsidP="0043426F">
            <w:pPr>
              <w:spacing w:after="0"/>
              <w:rPr>
                <w:rFonts w:ascii="Arial Narrow" w:eastAsia="Calibri" w:hAnsi="Arial Narrow"/>
              </w:rPr>
            </w:pPr>
            <w:r>
              <w:rPr>
                <w:rFonts w:ascii="Arial Narrow" w:eastAsia="Calibri" w:hAnsi="Arial Narrow"/>
              </w:rPr>
              <w:t>YES</w:t>
            </w:r>
          </w:p>
        </w:tc>
        <w:tc>
          <w:tcPr>
            <w:tcW w:w="4797" w:type="dxa"/>
          </w:tcPr>
          <w:p w14:paraId="37253A4C" w14:textId="77777777" w:rsidR="00ED5A08" w:rsidRPr="00ED5A08" w:rsidRDefault="00ED5A08" w:rsidP="00ED5A08">
            <w:pPr>
              <w:spacing w:after="0"/>
              <w:rPr>
                <w:rFonts w:ascii="Arial Narrow" w:eastAsia="Calibri" w:hAnsi="Arial Narrow"/>
              </w:rPr>
            </w:pPr>
            <w:r w:rsidRPr="00CD747F">
              <w:rPr>
                <w:rFonts w:ascii="Arial Narrow" w:eastAsia="Calibri" w:hAnsi="Arial Narrow"/>
                <w:b/>
                <w:bCs/>
              </w:rPr>
              <w:t>Policy 1.5</w:t>
            </w:r>
            <w:r w:rsidRPr="00ED5A08">
              <w:rPr>
                <w:rFonts w:ascii="Arial Narrow" w:eastAsia="Calibri" w:hAnsi="Arial Narrow"/>
              </w:rPr>
              <w:t>: Coordinate with local contracted fire emergency service agency to evaluate the</w:t>
            </w:r>
          </w:p>
          <w:p w14:paraId="2A3A56DE" w14:textId="77777777" w:rsidR="00ED5A08" w:rsidRPr="00ED5A08" w:rsidRDefault="00ED5A08" w:rsidP="00ED5A08">
            <w:pPr>
              <w:spacing w:after="0"/>
              <w:rPr>
                <w:rFonts w:ascii="Arial Narrow" w:eastAsia="Calibri" w:hAnsi="Arial Narrow"/>
              </w:rPr>
            </w:pPr>
            <w:r w:rsidRPr="00ED5A08">
              <w:rPr>
                <w:rFonts w:ascii="Arial Narrow" w:eastAsia="Calibri" w:hAnsi="Arial Narrow"/>
              </w:rPr>
              <w:t>required fire safe design to be incorporated during rebuilding effort after a major</w:t>
            </w:r>
          </w:p>
          <w:p w14:paraId="12FA8129" w14:textId="1B2353A6" w:rsidR="0043426F" w:rsidRDefault="00ED5A08" w:rsidP="00ED5A08">
            <w:pPr>
              <w:spacing w:after="0"/>
              <w:rPr>
                <w:rFonts w:ascii="Arial Narrow" w:eastAsia="Calibri" w:hAnsi="Arial Narrow"/>
              </w:rPr>
            </w:pPr>
            <w:r w:rsidRPr="00ED5A08">
              <w:rPr>
                <w:rFonts w:ascii="Arial Narrow" w:eastAsia="Calibri" w:hAnsi="Arial Narrow"/>
              </w:rPr>
              <w:lastRenderedPageBreak/>
              <w:t>disaster.</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74A77D64" w:rsidR="0043426F" w:rsidRDefault="003950D3" w:rsidP="0043426F">
            <w:pPr>
              <w:spacing w:after="0"/>
              <w:rPr>
                <w:rFonts w:ascii="Arial Narrow" w:eastAsia="Calibri" w:hAnsi="Arial Narrow"/>
              </w:rPr>
            </w:pPr>
            <w:r>
              <w:rPr>
                <w:rFonts w:ascii="Arial Narrow" w:eastAsia="Calibri" w:hAnsi="Arial Narrow"/>
              </w:rPr>
              <w:t>YES</w:t>
            </w:r>
          </w:p>
        </w:tc>
        <w:tc>
          <w:tcPr>
            <w:tcW w:w="4797" w:type="dxa"/>
          </w:tcPr>
          <w:p w14:paraId="60D82F1E" w14:textId="52E24F9D" w:rsidR="0043426F" w:rsidRDefault="003950D3" w:rsidP="0043426F">
            <w:pPr>
              <w:spacing w:after="0"/>
              <w:rPr>
                <w:rFonts w:ascii="Arial Narrow" w:eastAsia="Calibri" w:hAnsi="Arial Narrow"/>
              </w:rPr>
            </w:pPr>
            <w:r w:rsidRPr="00922429">
              <w:rPr>
                <w:rFonts w:ascii="Arial Narrow" w:eastAsia="Calibri" w:hAnsi="Arial Narrow"/>
                <w:b/>
                <w:bCs/>
              </w:rPr>
              <w:t>Policy 1.4:</w:t>
            </w:r>
            <w:r w:rsidRPr="003950D3">
              <w:rPr>
                <w:rFonts w:ascii="Arial Narrow" w:eastAsia="Calibri" w:hAnsi="Arial Narrow"/>
              </w:rPr>
              <w:t xml:space="preserve"> Reduce the risk of wildfire hazards by requiring fuel modification for landscaping and defensible space for development located in areas of high wildfire risk.</w:t>
            </w:r>
            <w:r>
              <w:rPr>
                <w:rFonts w:ascii="Arial Narrow" w:eastAsia="Calibri" w:hAnsi="Arial Narrow"/>
              </w:rPr>
              <w:t xml:space="preserve"> Page 36</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64F47B0B" w:rsidR="0043426F" w:rsidRDefault="00ED5A08" w:rsidP="0043426F">
            <w:pPr>
              <w:spacing w:after="0"/>
              <w:rPr>
                <w:rFonts w:ascii="Arial Narrow" w:eastAsia="Calibri" w:hAnsi="Arial Narrow"/>
              </w:rPr>
            </w:pPr>
            <w:r>
              <w:rPr>
                <w:rFonts w:ascii="Arial Narrow" w:eastAsia="Calibri" w:hAnsi="Arial Narrow"/>
              </w:rPr>
              <w:t>YES</w:t>
            </w:r>
          </w:p>
        </w:tc>
        <w:tc>
          <w:tcPr>
            <w:tcW w:w="4797" w:type="dxa"/>
          </w:tcPr>
          <w:p w14:paraId="3585C088" w14:textId="77777777" w:rsidR="00ED5A08" w:rsidRPr="00ED5A08" w:rsidRDefault="00ED5A08" w:rsidP="00ED5A08">
            <w:pPr>
              <w:spacing w:after="0"/>
              <w:rPr>
                <w:rFonts w:ascii="Arial Narrow" w:eastAsia="Calibri" w:hAnsi="Arial Narrow"/>
              </w:rPr>
            </w:pPr>
            <w:r w:rsidRPr="00CD747F">
              <w:rPr>
                <w:rFonts w:ascii="Arial Narrow" w:eastAsia="Calibri" w:hAnsi="Arial Narrow"/>
                <w:b/>
                <w:bCs/>
              </w:rPr>
              <w:t>Policy 1.4</w:t>
            </w:r>
            <w:r w:rsidRPr="00ED5A08">
              <w:rPr>
                <w:rFonts w:ascii="Arial Narrow" w:eastAsia="Calibri" w:hAnsi="Arial Narrow"/>
              </w:rPr>
              <w:t>: Require property owners to incorporate fire-safe and erosion-safe design during</w:t>
            </w:r>
          </w:p>
          <w:p w14:paraId="36088DCF" w14:textId="7657771B" w:rsidR="0043426F" w:rsidRPr="00ED5A08" w:rsidRDefault="00ED5A08" w:rsidP="00ED5A08">
            <w:pPr>
              <w:spacing w:after="0"/>
              <w:rPr>
                <w:rFonts w:ascii="Arial Narrow" w:eastAsia="Calibri" w:hAnsi="Arial Narrow"/>
              </w:rPr>
            </w:pPr>
            <w:r w:rsidRPr="00ED5A08">
              <w:rPr>
                <w:rFonts w:ascii="Arial Narrow" w:eastAsia="Calibri" w:hAnsi="Arial Narrow"/>
              </w:rPr>
              <w:t>new development or major renovations (development over a two-year period of</w:t>
            </w:r>
            <w:r>
              <w:rPr>
                <w:rFonts w:ascii="Arial Narrow" w:eastAsia="Calibri" w:hAnsi="Arial Narrow"/>
              </w:rPr>
              <w:t xml:space="preserve"> </w:t>
            </w:r>
            <w:r w:rsidRPr="00ED5A08">
              <w:rPr>
                <w:rFonts w:ascii="Arial Narrow" w:eastAsia="Calibri" w:hAnsi="Arial Narrow"/>
              </w:rPr>
              <w:t>more than 33% of existing square footage or 2,000 s.f. resulting in the building</w:t>
            </w:r>
            <w:r>
              <w:rPr>
                <w:rFonts w:ascii="Arial Narrow" w:eastAsia="Calibri" w:hAnsi="Arial Narrow"/>
              </w:rPr>
              <w:t xml:space="preserve"> </w:t>
            </w:r>
            <w:r w:rsidRPr="00ED5A08">
              <w:rPr>
                <w:rFonts w:ascii="Arial Narrow" w:eastAsia="Calibri" w:hAnsi="Arial Narrow"/>
              </w:rPr>
              <w:t>exceeding 5,000 square feet.) and receive contracted emergency service agency's</w:t>
            </w:r>
            <w:r>
              <w:rPr>
                <w:rFonts w:ascii="Arial Narrow" w:eastAsia="Calibri" w:hAnsi="Arial Narrow"/>
              </w:rPr>
              <w:t xml:space="preserve"> </w:t>
            </w:r>
            <w:r w:rsidRPr="00ED5A08">
              <w:rPr>
                <w:rFonts w:ascii="Arial Narrow" w:eastAsia="Calibri" w:hAnsi="Arial Narrow"/>
              </w:rPr>
              <w:t>approval prior to permit issuance.</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65668D0B" w:rsidR="0043426F" w:rsidRDefault="00CD747F" w:rsidP="0043426F">
            <w:pPr>
              <w:spacing w:after="0"/>
              <w:rPr>
                <w:rFonts w:ascii="Arial Narrow" w:eastAsia="Calibri" w:hAnsi="Arial Narrow"/>
              </w:rPr>
            </w:pPr>
            <w:r>
              <w:rPr>
                <w:rFonts w:ascii="Arial Narrow" w:eastAsia="Calibri" w:hAnsi="Arial Narrow"/>
              </w:rPr>
              <w:t>YES</w:t>
            </w:r>
          </w:p>
        </w:tc>
        <w:tc>
          <w:tcPr>
            <w:tcW w:w="4797" w:type="dxa"/>
          </w:tcPr>
          <w:p w14:paraId="16381314" w14:textId="77777777" w:rsidR="00CD747F" w:rsidRPr="00CD747F" w:rsidRDefault="00CD747F" w:rsidP="00CD747F">
            <w:pPr>
              <w:spacing w:after="0"/>
              <w:rPr>
                <w:rFonts w:ascii="Arial Narrow" w:eastAsia="Calibri" w:hAnsi="Arial Narrow"/>
              </w:rPr>
            </w:pPr>
            <w:r w:rsidRPr="00CD747F">
              <w:rPr>
                <w:rFonts w:ascii="Arial Narrow" w:eastAsia="Calibri" w:hAnsi="Arial Narrow"/>
                <w:b/>
                <w:bCs/>
              </w:rPr>
              <w:t>Policy 1.10</w:t>
            </w:r>
            <w:r w:rsidRPr="00CD747F">
              <w:rPr>
                <w:rFonts w:ascii="Arial Narrow" w:eastAsia="Calibri" w:hAnsi="Arial Narrow"/>
              </w:rPr>
              <w:t>: Coordinate with Caltrans, Orange County, local contracted emergency service</w:t>
            </w:r>
          </w:p>
          <w:p w14:paraId="00409CE4" w14:textId="79ABE336" w:rsidR="00CD747F" w:rsidRPr="00CD747F" w:rsidRDefault="00CD747F" w:rsidP="00CD747F">
            <w:pPr>
              <w:spacing w:after="0"/>
              <w:rPr>
                <w:rFonts w:ascii="Arial Narrow" w:eastAsia="Calibri" w:hAnsi="Arial Narrow"/>
              </w:rPr>
            </w:pPr>
            <w:r w:rsidRPr="00CD747F">
              <w:rPr>
                <w:rFonts w:ascii="Arial Narrow" w:eastAsia="Calibri" w:hAnsi="Arial Narrow"/>
              </w:rPr>
              <w:t>agencies, and City Public Works to maintain defensible space along public and</w:t>
            </w:r>
          </w:p>
          <w:p w14:paraId="51557A5C" w14:textId="49CF9A43" w:rsidR="0043426F" w:rsidRDefault="00CD747F" w:rsidP="00CD747F">
            <w:pPr>
              <w:spacing w:after="0"/>
              <w:rPr>
                <w:rFonts w:ascii="Arial Narrow" w:eastAsia="Calibri" w:hAnsi="Arial Narrow"/>
              </w:rPr>
            </w:pPr>
            <w:r w:rsidRPr="00CD747F">
              <w:rPr>
                <w:rFonts w:ascii="Arial Narrow" w:eastAsia="Calibri" w:hAnsi="Arial Narrow"/>
              </w:rPr>
              <w:t>private roads.</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1FAF0F73" w:rsidR="0043426F" w:rsidRDefault="00922429" w:rsidP="0043426F">
            <w:pPr>
              <w:spacing w:after="0"/>
              <w:rPr>
                <w:rFonts w:ascii="Arial Narrow" w:eastAsia="Calibri" w:hAnsi="Arial Narrow"/>
              </w:rPr>
            </w:pPr>
            <w:r>
              <w:rPr>
                <w:rFonts w:ascii="Arial Narrow" w:eastAsia="Calibri" w:hAnsi="Arial Narrow"/>
              </w:rPr>
              <w:t>YES</w:t>
            </w:r>
          </w:p>
        </w:tc>
        <w:tc>
          <w:tcPr>
            <w:tcW w:w="4797" w:type="dxa"/>
          </w:tcPr>
          <w:p w14:paraId="4D671C44" w14:textId="6837FF32" w:rsidR="0043426F" w:rsidRDefault="00922429" w:rsidP="0043426F">
            <w:pPr>
              <w:spacing w:after="0"/>
              <w:rPr>
                <w:rFonts w:ascii="Arial Narrow" w:eastAsia="Calibri" w:hAnsi="Arial Narrow"/>
              </w:rPr>
            </w:pPr>
            <w:r w:rsidRPr="00922429">
              <w:rPr>
                <w:rFonts w:ascii="Arial Narrow" w:eastAsia="Calibri" w:hAnsi="Arial Narrow"/>
                <w:b/>
                <w:bCs/>
              </w:rPr>
              <w:t xml:space="preserve"> 2.14Disaster and Evacuation Routes</w:t>
            </w:r>
            <w:r>
              <w:rPr>
                <w:rFonts w:ascii="Arial Narrow" w:eastAsia="Calibri" w:hAnsi="Arial Narrow"/>
              </w:rPr>
              <w:t xml:space="preserve"> </w:t>
            </w:r>
            <w:r w:rsidRPr="00922429">
              <w:rPr>
                <w:rFonts w:ascii="Arial Narrow" w:eastAsia="Calibri" w:hAnsi="Arial Narrow"/>
              </w:rPr>
              <w:t>Maintenance and regular clearance of roadways is an essential part of being prepared to evacuate during emergencies. The City will regularly maintain the city-owned roadways and coordinate with other relevant agencies and HOAs to maintain roadways that the City does not own. These cleated roadways also act as fire break areas and stop the spread of fire. The City will require property owners to submit plans showing ingress/egress, evacuation routes, emergency vehicle access, visible home addressing, and signage</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7668B61D" w:rsidR="0043426F" w:rsidRDefault="008B62DF" w:rsidP="0043426F">
            <w:pPr>
              <w:spacing w:after="0"/>
              <w:rPr>
                <w:rFonts w:ascii="Arial Narrow" w:eastAsia="Calibri" w:hAnsi="Arial Narrow"/>
              </w:rPr>
            </w:pPr>
            <w:r>
              <w:rPr>
                <w:rFonts w:ascii="Arial Narrow" w:eastAsia="Calibri" w:hAnsi="Arial Narrow"/>
              </w:rPr>
              <w:t>YES</w:t>
            </w:r>
          </w:p>
        </w:tc>
        <w:tc>
          <w:tcPr>
            <w:tcW w:w="4797" w:type="dxa"/>
          </w:tcPr>
          <w:p w14:paraId="555F3497" w14:textId="53C56AA2" w:rsidR="0043426F" w:rsidRDefault="008B62DF" w:rsidP="0043426F">
            <w:pPr>
              <w:spacing w:after="0"/>
              <w:rPr>
                <w:rFonts w:ascii="Arial Narrow" w:eastAsia="Calibri" w:hAnsi="Arial Narrow"/>
              </w:rPr>
            </w:pPr>
            <w:r w:rsidRPr="00922429">
              <w:rPr>
                <w:rFonts w:ascii="Arial Narrow" w:eastAsia="Calibri" w:hAnsi="Arial Narrow"/>
                <w:b/>
                <w:bCs/>
              </w:rPr>
              <w:t>2.14Disaster and Evacuation Routes page</w:t>
            </w:r>
            <w:r>
              <w:rPr>
                <w:rFonts w:ascii="Arial Narrow" w:eastAsia="Calibri" w:hAnsi="Arial Narrow"/>
              </w:rPr>
              <w:t xml:space="preserve">, </w:t>
            </w:r>
            <w:r w:rsidRPr="000142F8">
              <w:rPr>
                <w:rFonts w:ascii="Arial Narrow" w:eastAsia="Calibri" w:hAnsi="Arial Narrow"/>
                <w:b/>
                <w:bCs/>
              </w:rPr>
              <w:t>33</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01D6C289" w:rsidR="0043426F" w:rsidRDefault="000142F8" w:rsidP="0043426F">
            <w:pPr>
              <w:spacing w:after="0"/>
              <w:rPr>
                <w:rFonts w:ascii="Arial Narrow" w:eastAsia="Calibri" w:hAnsi="Arial Narrow"/>
              </w:rPr>
            </w:pPr>
            <w:r>
              <w:rPr>
                <w:rFonts w:ascii="Arial Narrow" w:eastAsia="Calibri" w:hAnsi="Arial Narrow"/>
              </w:rPr>
              <w:t>YES</w:t>
            </w:r>
          </w:p>
        </w:tc>
        <w:tc>
          <w:tcPr>
            <w:tcW w:w="4797" w:type="dxa"/>
          </w:tcPr>
          <w:p w14:paraId="1376AC6F" w14:textId="14A796ED" w:rsidR="0043426F" w:rsidRPr="000142F8" w:rsidRDefault="000142F8" w:rsidP="0043426F">
            <w:pPr>
              <w:spacing w:after="0"/>
              <w:rPr>
                <w:rFonts w:ascii="Arial Narrow" w:eastAsia="Calibri" w:hAnsi="Arial Narrow"/>
                <w:b/>
                <w:bCs/>
              </w:rPr>
            </w:pPr>
            <w:r w:rsidRPr="000142F8">
              <w:rPr>
                <w:rFonts w:ascii="Arial Narrow" w:eastAsia="Calibri" w:hAnsi="Arial Narrow"/>
                <w:b/>
                <w:bCs/>
              </w:rPr>
              <w:t>2.14Disaster and Evacuation Routes</w:t>
            </w:r>
            <w:r>
              <w:rPr>
                <w:rFonts w:ascii="Arial Narrow" w:eastAsia="Calibri" w:hAnsi="Arial Narrow"/>
                <w:b/>
                <w:bCs/>
              </w:rPr>
              <w:t xml:space="preserve"> page 33</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40EAFBBA" w:rsidR="0043426F" w:rsidRDefault="00995D20" w:rsidP="0043426F">
            <w:pPr>
              <w:spacing w:after="0"/>
              <w:rPr>
                <w:rFonts w:ascii="Arial Narrow" w:eastAsia="Calibri" w:hAnsi="Arial Narrow"/>
              </w:rPr>
            </w:pPr>
            <w:r>
              <w:rPr>
                <w:rFonts w:ascii="Arial Narrow" w:eastAsia="Calibri" w:hAnsi="Arial Narrow"/>
              </w:rPr>
              <w:t>YES</w:t>
            </w:r>
          </w:p>
        </w:tc>
        <w:tc>
          <w:tcPr>
            <w:tcW w:w="4797" w:type="dxa"/>
          </w:tcPr>
          <w:p w14:paraId="062D4805" w14:textId="3E8D5439" w:rsidR="0043426F" w:rsidRDefault="00995D20" w:rsidP="0043426F">
            <w:pPr>
              <w:spacing w:after="0"/>
              <w:rPr>
                <w:rFonts w:ascii="Arial Narrow" w:eastAsia="Calibri" w:hAnsi="Arial Narrow"/>
              </w:rPr>
            </w:pPr>
            <w:r w:rsidRPr="00995D20">
              <w:rPr>
                <w:rFonts w:ascii="Arial Narrow" w:eastAsia="Calibri" w:hAnsi="Arial Narrow"/>
              </w:rPr>
              <w:t xml:space="preserve">The City will reduce the potential for dangerous fires by coordinating with the OCFA to implement fire hazard education, fire protection, and fuel </w:t>
            </w:r>
            <w:r w:rsidRPr="00995D20">
              <w:rPr>
                <w:rFonts w:ascii="Arial Narrow" w:eastAsia="Calibri" w:hAnsi="Arial Narrow"/>
              </w:rPr>
              <w:lastRenderedPageBreak/>
              <w:t>modification programs. The current California Fire Code will be used to reduce structural fire hazards.</w:t>
            </w:r>
            <w:r>
              <w:rPr>
                <w:rFonts w:ascii="Arial Narrow" w:eastAsia="Calibri" w:hAnsi="Arial Narrow"/>
              </w:rPr>
              <w:t xml:space="preserve"> Page 4</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5B265B6C" w:rsidR="0043426F" w:rsidRDefault="00002860" w:rsidP="0043426F">
            <w:pPr>
              <w:spacing w:after="0"/>
              <w:rPr>
                <w:rFonts w:ascii="Arial Narrow" w:eastAsia="Calibri" w:hAnsi="Arial Narrow"/>
              </w:rPr>
            </w:pPr>
            <w:r>
              <w:rPr>
                <w:rFonts w:ascii="Arial Narrow" w:eastAsia="Calibri" w:hAnsi="Arial Narrow"/>
              </w:rPr>
              <w:t>YES</w:t>
            </w:r>
          </w:p>
        </w:tc>
        <w:tc>
          <w:tcPr>
            <w:tcW w:w="4797" w:type="dxa"/>
          </w:tcPr>
          <w:p w14:paraId="4006C77E" w14:textId="77777777" w:rsidR="00002860" w:rsidRPr="00002860" w:rsidRDefault="00002860" w:rsidP="00002860">
            <w:pPr>
              <w:spacing w:after="0"/>
              <w:rPr>
                <w:rFonts w:ascii="Arial Narrow" w:eastAsia="Calibri" w:hAnsi="Arial Narrow"/>
              </w:rPr>
            </w:pPr>
            <w:r w:rsidRPr="001C4227">
              <w:rPr>
                <w:rFonts w:ascii="Arial Narrow" w:eastAsia="Calibri" w:hAnsi="Arial Narrow"/>
                <w:b/>
                <w:bCs/>
              </w:rPr>
              <w:t>Policy 1.5:</w:t>
            </w:r>
            <w:r w:rsidRPr="00002860">
              <w:rPr>
                <w:rFonts w:ascii="Arial Narrow" w:eastAsia="Calibri" w:hAnsi="Arial Narrow"/>
              </w:rPr>
              <w:t xml:space="preserve"> Cooperate and coordinate with the Orange County Fire Authority and California Water Service to ensure that fire hydrant placement, water pressure, and availability of fire suppression equipment are adequate for firefighting purposes.</w:t>
            </w:r>
          </w:p>
          <w:p w14:paraId="700590D7" w14:textId="5F2013A6" w:rsidR="0043426F" w:rsidRDefault="00002860" w:rsidP="00002860">
            <w:pPr>
              <w:spacing w:after="0"/>
              <w:rPr>
                <w:rFonts w:ascii="Arial Narrow" w:eastAsia="Calibri" w:hAnsi="Arial Narrow"/>
              </w:rPr>
            </w:pPr>
            <w:r w:rsidRPr="001C4227">
              <w:rPr>
                <w:rFonts w:ascii="Arial Narrow" w:eastAsia="Calibri" w:hAnsi="Arial Narrow"/>
                <w:b/>
                <w:bCs/>
              </w:rPr>
              <w:t>Policy 1.6:</w:t>
            </w:r>
            <w:r w:rsidRPr="00002860">
              <w:rPr>
                <w:rFonts w:ascii="Arial Narrow" w:eastAsia="Calibri" w:hAnsi="Arial Narrow"/>
              </w:rPr>
              <w:t xml:space="preserve"> Cooperate with the California Water Service to make sure that present and future water supply needs are met adequately.</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6A986C5F" w:rsidR="0043426F" w:rsidRDefault="00002860" w:rsidP="0043426F">
            <w:pPr>
              <w:spacing w:after="0"/>
              <w:rPr>
                <w:rFonts w:ascii="Arial Narrow" w:eastAsia="Calibri" w:hAnsi="Arial Narrow"/>
              </w:rPr>
            </w:pPr>
            <w:r>
              <w:rPr>
                <w:rFonts w:ascii="Arial Narrow" w:eastAsia="Calibri" w:hAnsi="Arial Narrow"/>
              </w:rPr>
              <w:t>YES</w:t>
            </w:r>
          </w:p>
        </w:tc>
        <w:tc>
          <w:tcPr>
            <w:tcW w:w="4797" w:type="dxa"/>
          </w:tcPr>
          <w:p w14:paraId="54E36175" w14:textId="2ED279AC" w:rsidR="0043426F" w:rsidRDefault="00002860" w:rsidP="0043426F">
            <w:pPr>
              <w:spacing w:after="0"/>
              <w:rPr>
                <w:rFonts w:ascii="Arial Narrow" w:eastAsia="Calibri" w:hAnsi="Arial Narrow"/>
              </w:rPr>
            </w:pPr>
            <w:r w:rsidRPr="001C4227">
              <w:rPr>
                <w:rFonts w:ascii="Arial Narrow" w:eastAsia="Calibri" w:hAnsi="Arial Narrow"/>
                <w:b/>
                <w:bCs/>
              </w:rPr>
              <w:t>Policy 1.1</w:t>
            </w:r>
            <w:r w:rsidRPr="00002860">
              <w:rPr>
                <w:rFonts w:ascii="Arial Narrow" w:eastAsia="Calibri" w:hAnsi="Arial Narrow"/>
              </w:rPr>
              <w:t>: Ensure that the City standards for fire protection for new development in Very High Fire Hazard Severity Zones meet or exceed the statewide minimums</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43D8806" w:rsidR="00742FF3" w:rsidRPr="001C4227" w:rsidRDefault="00002860"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08D1000F" w14:textId="77777777" w:rsidR="00002860" w:rsidRPr="001C4227" w:rsidRDefault="00002860" w:rsidP="00002860">
            <w:pPr>
              <w:spacing w:after="0"/>
              <w:rPr>
                <w:rFonts w:ascii="Arial Narrow" w:eastAsia="Calibri" w:hAnsi="Arial Narrow"/>
                <w:iCs/>
              </w:rPr>
            </w:pPr>
            <w:r w:rsidRPr="001C4227">
              <w:rPr>
                <w:rFonts w:ascii="Arial Narrow" w:eastAsia="Calibri" w:hAnsi="Arial Narrow"/>
                <w:b/>
                <w:bCs/>
                <w:iCs/>
              </w:rPr>
              <w:t>Policy 1.5:</w:t>
            </w:r>
            <w:r w:rsidRPr="001C4227">
              <w:rPr>
                <w:rFonts w:ascii="Arial Narrow" w:eastAsia="Calibri" w:hAnsi="Arial Narrow"/>
                <w:iCs/>
              </w:rPr>
              <w:t xml:space="preserve"> Cooperate and coordinate with the Orange County Fire Authority and California Water Service to ensure that fire hydrant placement, water pressure, and availability of fire suppression equipment are adequate for firefighting purposes.</w:t>
            </w:r>
          </w:p>
          <w:p w14:paraId="246EB045" w14:textId="54FC050F" w:rsidR="00742FF3" w:rsidRPr="001C4227" w:rsidRDefault="00002860" w:rsidP="00002860">
            <w:pPr>
              <w:spacing w:after="0"/>
              <w:rPr>
                <w:rFonts w:ascii="Arial Narrow" w:eastAsia="Calibri" w:hAnsi="Arial Narrow"/>
                <w:iCs/>
              </w:rPr>
            </w:pPr>
            <w:r w:rsidRPr="001C4227">
              <w:rPr>
                <w:rFonts w:ascii="Arial Narrow" w:eastAsia="Calibri" w:hAnsi="Arial Narrow"/>
                <w:iCs/>
              </w:rPr>
              <w:t>Policy 1.6: Cooperate with the California Water Service to make sure that present and future water supply needs are met adequately.</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324B28A8" w:rsidR="00742FF3" w:rsidRPr="001C4227" w:rsidRDefault="00002860"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4DBC81B0" w14:textId="77777777" w:rsidR="00002860" w:rsidRPr="001C4227" w:rsidRDefault="00002860" w:rsidP="00002860">
            <w:pPr>
              <w:spacing w:after="0"/>
              <w:rPr>
                <w:rFonts w:ascii="Arial Narrow" w:eastAsia="Calibri" w:hAnsi="Arial Narrow"/>
                <w:iCs/>
              </w:rPr>
            </w:pPr>
            <w:r w:rsidRPr="001C4227">
              <w:rPr>
                <w:rFonts w:ascii="Arial Narrow" w:eastAsia="Calibri" w:hAnsi="Arial Narrow"/>
                <w:b/>
                <w:bCs/>
                <w:iCs/>
              </w:rPr>
              <w:t>Policy 1.5:</w:t>
            </w:r>
            <w:r w:rsidRPr="001C4227">
              <w:rPr>
                <w:rFonts w:ascii="Arial Narrow" w:eastAsia="Calibri" w:hAnsi="Arial Narrow"/>
                <w:iCs/>
              </w:rPr>
              <w:t xml:space="preserve"> Cooperate and coordinate with the Orange County Fire Authority and California Water Service to ensure that fire hydrant placement, water pressure, and availability of fire suppression equipment are adequate for firefighting purposes.</w:t>
            </w:r>
          </w:p>
          <w:p w14:paraId="233FD3EE" w14:textId="53C80DEF" w:rsidR="00742FF3" w:rsidRPr="001C4227" w:rsidRDefault="00002860" w:rsidP="00002860">
            <w:pPr>
              <w:spacing w:after="0"/>
              <w:rPr>
                <w:rFonts w:ascii="Arial Narrow" w:eastAsia="Calibri" w:hAnsi="Arial Narrow"/>
                <w:iCs/>
              </w:rPr>
            </w:pPr>
            <w:r w:rsidRPr="001C4227">
              <w:rPr>
                <w:rFonts w:ascii="Arial Narrow" w:eastAsia="Calibri" w:hAnsi="Arial Narrow"/>
                <w:b/>
                <w:bCs/>
                <w:iCs/>
              </w:rPr>
              <w:t>Policy 1.6:</w:t>
            </w:r>
            <w:r w:rsidRPr="001C4227">
              <w:rPr>
                <w:rFonts w:ascii="Arial Narrow" w:eastAsia="Calibri" w:hAnsi="Arial Narrow"/>
                <w:iCs/>
              </w:rPr>
              <w:t xml:space="preserve"> Cooperate with the California Water Service to make sure that present and future water supply needs are met adequately.</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4797" w:type="dxa"/>
          </w:tcPr>
          <w:p w14:paraId="1558A777" w14:textId="32A78237" w:rsidR="00742FF3" w:rsidRPr="001C4227" w:rsidRDefault="00002860"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68E41D29" w14:textId="77777777" w:rsidR="00002860" w:rsidRPr="001C4227" w:rsidRDefault="00002860" w:rsidP="00002860">
            <w:pPr>
              <w:spacing w:after="0"/>
              <w:rPr>
                <w:rFonts w:ascii="Arial Narrow" w:eastAsia="Calibri" w:hAnsi="Arial Narrow"/>
                <w:iCs/>
              </w:rPr>
            </w:pPr>
            <w:r w:rsidRPr="001C4227">
              <w:rPr>
                <w:rFonts w:ascii="Arial Narrow" w:eastAsia="Calibri" w:hAnsi="Arial Narrow"/>
                <w:b/>
                <w:bCs/>
                <w:iCs/>
              </w:rPr>
              <w:t>Policy 1.5:</w:t>
            </w:r>
            <w:r w:rsidRPr="001C4227">
              <w:rPr>
                <w:rFonts w:ascii="Arial Narrow" w:eastAsia="Calibri" w:hAnsi="Arial Narrow"/>
                <w:iCs/>
              </w:rPr>
              <w:t xml:space="preserve"> Cooperate and coordinate with the Orange County Fire Authority and California Water Service to ensure that fire hydrant placement, water pressure, and availability of fire suppression equipment are adequate for firefighting purposes.</w:t>
            </w:r>
          </w:p>
          <w:p w14:paraId="051D4744" w14:textId="123F9992" w:rsidR="00742FF3" w:rsidRPr="001C4227" w:rsidRDefault="00002860" w:rsidP="00002860">
            <w:pPr>
              <w:spacing w:after="0"/>
              <w:rPr>
                <w:rFonts w:ascii="Arial Narrow" w:eastAsia="Calibri" w:hAnsi="Arial Narrow"/>
                <w:iCs/>
              </w:rPr>
            </w:pPr>
            <w:r w:rsidRPr="001C4227">
              <w:rPr>
                <w:rFonts w:ascii="Arial Narrow" w:eastAsia="Calibri" w:hAnsi="Arial Narrow"/>
                <w:iCs/>
              </w:rPr>
              <w:t>Policy 1.6: Cooperate with the California Water Service to make sure that present and future water supply needs are met adequately.</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5672C330" w:rsidR="00742FF3" w:rsidRPr="001C4227" w:rsidRDefault="00754573"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1814EBDA" w14:textId="1B9280D6" w:rsidR="00742FF3" w:rsidRPr="001C4227" w:rsidRDefault="00754573" w:rsidP="00742FF3">
            <w:pPr>
              <w:spacing w:after="0"/>
              <w:rPr>
                <w:rFonts w:ascii="Arial Narrow" w:eastAsia="Calibri" w:hAnsi="Arial Narrow"/>
                <w:iCs/>
              </w:rPr>
            </w:pPr>
            <w:r w:rsidRPr="001C4227">
              <w:rPr>
                <w:rFonts w:ascii="Arial Narrow" w:eastAsia="Calibri" w:hAnsi="Arial Narrow"/>
                <w:iCs/>
              </w:rPr>
              <w:t>2.14</w:t>
            </w:r>
            <w:r w:rsidR="001C4227">
              <w:rPr>
                <w:rFonts w:ascii="Arial Narrow" w:eastAsia="Calibri" w:hAnsi="Arial Narrow"/>
                <w:iCs/>
              </w:rPr>
              <w:t xml:space="preserve"> </w:t>
            </w:r>
            <w:r w:rsidRPr="001C4227">
              <w:rPr>
                <w:rFonts w:ascii="Arial Narrow" w:eastAsia="Calibri" w:hAnsi="Arial Narrow"/>
                <w:iCs/>
              </w:rPr>
              <w:t>Disaster and Evacuation Routes page, 33</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18A142DD" w:rsidR="00742FF3" w:rsidRPr="001C4227" w:rsidRDefault="00754573"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0B5001BC" w14:textId="755E18B9" w:rsidR="00742FF3" w:rsidRPr="001C4227" w:rsidRDefault="00754573" w:rsidP="00742FF3">
            <w:pPr>
              <w:spacing w:after="0"/>
              <w:rPr>
                <w:rFonts w:ascii="Arial Narrow" w:eastAsia="Calibri" w:hAnsi="Arial Narrow"/>
                <w:iCs/>
              </w:rPr>
            </w:pPr>
            <w:r w:rsidRPr="001C4227">
              <w:rPr>
                <w:rFonts w:ascii="Arial Narrow" w:eastAsia="Calibri" w:hAnsi="Arial Narrow"/>
                <w:b/>
                <w:bCs/>
                <w:iCs/>
              </w:rPr>
              <w:t>Policy 1.4:</w:t>
            </w:r>
            <w:r w:rsidRPr="001C4227">
              <w:rPr>
                <w:rFonts w:ascii="Arial Narrow" w:eastAsia="Calibri" w:hAnsi="Arial Narrow"/>
                <w:iCs/>
              </w:rPr>
              <w:t xml:space="preserve"> Reduce the risk of wildfire hazards by requiring fuel modification for landscaping and defensible space for development located in areas of high wildfire risk.</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0AC96BB3" w:rsidR="00742FF3" w:rsidRPr="001C4227" w:rsidRDefault="00995D20"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69B23733" w14:textId="5E65496A" w:rsidR="00742FF3" w:rsidRPr="001C4227" w:rsidRDefault="001C4227" w:rsidP="00742FF3">
            <w:pPr>
              <w:spacing w:after="0"/>
              <w:rPr>
                <w:rFonts w:ascii="Arial Narrow" w:eastAsia="Calibri" w:hAnsi="Arial Narrow"/>
                <w:iCs/>
              </w:rPr>
            </w:pPr>
            <w:r w:rsidRPr="001C4227">
              <w:rPr>
                <w:rFonts w:ascii="Arial Narrow" w:eastAsia="Calibri" w:hAnsi="Arial Narrow"/>
                <w:b/>
                <w:bCs/>
                <w:iCs/>
              </w:rPr>
              <w:t>2</w:t>
            </w:r>
            <w:r w:rsidR="00995D20" w:rsidRPr="001C4227">
              <w:rPr>
                <w:rFonts w:ascii="Arial Narrow" w:eastAsia="Calibri" w:hAnsi="Arial Narrow"/>
                <w:b/>
                <w:bCs/>
                <w:iCs/>
              </w:rPr>
              <w:t>.14Disaster and Evacuation Routes Maintenance</w:t>
            </w:r>
            <w:r w:rsidR="00995D20" w:rsidRPr="001C4227">
              <w:rPr>
                <w:rFonts w:ascii="Arial Narrow" w:eastAsia="Calibri" w:hAnsi="Arial Narrow"/>
                <w:iCs/>
              </w:rPr>
              <w:t xml:space="preserve"> and regular clearance of roadways is an essential part of being prepared to evacuate during emergencies. The City will regularly maintain the city-owned roadways and coordinate with other relevant agencies and HOAs to maintain roadways that the City does not own. These cleated roadways also act as fire break areas and stop the spread of fire. The City will require property owners to submit plans showing ingress/egress, evacuation routes, emergency vehicle access, visible home addressing, and signage</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2E7987F8" w:rsidR="00742FF3" w:rsidRPr="001C4227" w:rsidRDefault="00995D20"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0C458DB9" w14:textId="6EBE3FC5" w:rsidR="00742FF3" w:rsidRPr="001C4227" w:rsidRDefault="001C4227" w:rsidP="00742FF3">
            <w:pPr>
              <w:spacing w:after="0"/>
              <w:rPr>
                <w:rFonts w:ascii="Arial Narrow" w:eastAsia="Calibri" w:hAnsi="Arial Narrow"/>
                <w:iCs/>
              </w:rPr>
            </w:pPr>
            <w:r w:rsidRPr="001C4227">
              <w:rPr>
                <w:rFonts w:ascii="Arial Narrow" w:eastAsia="Calibri" w:hAnsi="Arial Narrow"/>
                <w:b/>
                <w:bCs/>
                <w:iCs/>
              </w:rPr>
              <w:t>2</w:t>
            </w:r>
            <w:r w:rsidR="00995D20" w:rsidRPr="001C4227">
              <w:rPr>
                <w:rFonts w:ascii="Arial Narrow" w:eastAsia="Calibri" w:hAnsi="Arial Narrow"/>
                <w:b/>
                <w:bCs/>
                <w:iCs/>
              </w:rPr>
              <w:t>.14Disaster and Evacuation Routes Maintenance</w:t>
            </w:r>
            <w:r w:rsidR="00995D20" w:rsidRPr="001C4227">
              <w:rPr>
                <w:rFonts w:ascii="Arial Narrow" w:eastAsia="Calibri" w:hAnsi="Arial Narrow"/>
                <w:iCs/>
              </w:rPr>
              <w:t xml:space="preserve"> and regular clearance of roadways is an essential part of being prepared to evacuate during emergencies. The City will regularly maintain the city-owned roadways and coordinate with other relevant agencies and HOAs to maintain roadways that the City does not own. These cleated roadways also act as fire break areas and stop the spread of fire. The City will require property owners to submit plans showing ingress/egress, evacuation routes, </w:t>
            </w:r>
            <w:r w:rsidR="00995D20" w:rsidRPr="001C4227">
              <w:rPr>
                <w:rFonts w:ascii="Arial Narrow" w:eastAsia="Calibri" w:hAnsi="Arial Narrow"/>
                <w:iCs/>
              </w:rPr>
              <w:lastRenderedPageBreak/>
              <w:t>emergency vehicle access, visible home addressing, and signage</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lastRenderedPageBreak/>
              <w:t>Community fire breaks? Is there a discussion of how those fire breaks will be maintained?</w:t>
            </w:r>
          </w:p>
        </w:tc>
        <w:tc>
          <w:tcPr>
            <w:tcW w:w="4797" w:type="dxa"/>
          </w:tcPr>
          <w:p w14:paraId="3594B115" w14:textId="2B1FA5F6" w:rsidR="00742FF3" w:rsidRPr="00CD747F" w:rsidRDefault="00CD747F" w:rsidP="00742FF3">
            <w:pPr>
              <w:spacing w:after="0"/>
              <w:rPr>
                <w:rFonts w:ascii="Arial Narrow" w:eastAsia="Calibri" w:hAnsi="Arial Narrow"/>
                <w:iCs/>
              </w:rPr>
            </w:pPr>
            <w:r w:rsidRPr="00CD747F">
              <w:rPr>
                <w:rFonts w:ascii="Arial Narrow" w:eastAsia="Calibri" w:hAnsi="Arial Narrow"/>
                <w:iCs/>
              </w:rPr>
              <w:t>YES</w:t>
            </w:r>
          </w:p>
        </w:tc>
        <w:tc>
          <w:tcPr>
            <w:tcW w:w="4797" w:type="dxa"/>
          </w:tcPr>
          <w:p w14:paraId="6DE51634" w14:textId="77777777" w:rsidR="00CD747F" w:rsidRPr="00CD747F" w:rsidRDefault="00CD747F" w:rsidP="00CD747F">
            <w:pPr>
              <w:spacing w:after="0"/>
              <w:rPr>
                <w:rFonts w:ascii="Arial Narrow" w:eastAsia="Calibri" w:hAnsi="Arial Narrow"/>
                <w:iCs/>
              </w:rPr>
            </w:pPr>
            <w:r w:rsidRPr="00CD747F">
              <w:rPr>
                <w:rFonts w:ascii="Arial Narrow" w:eastAsia="Calibri" w:hAnsi="Arial Narrow"/>
                <w:iCs/>
              </w:rPr>
              <w:t>Policy 1.11: Coordinate with Cal Fire, and local contracted fire emergency service agency to</w:t>
            </w:r>
          </w:p>
          <w:p w14:paraId="245A4D25" w14:textId="0891C041" w:rsidR="00742FF3" w:rsidRDefault="00CD747F" w:rsidP="00CD747F">
            <w:pPr>
              <w:spacing w:after="0"/>
              <w:rPr>
                <w:rFonts w:ascii="Arial Narrow" w:eastAsia="Calibri" w:hAnsi="Arial Narrow"/>
                <w:i/>
              </w:rPr>
            </w:pPr>
            <w:r w:rsidRPr="00CD747F">
              <w:rPr>
                <w:rFonts w:ascii="Arial Narrow" w:eastAsia="Calibri" w:hAnsi="Arial Narrow"/>
                <w:iCs/>
              </w:rPr>
              <w:t>maintain and create fuel breaks in and around the City.</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7BF385CE" w:rsidR="00742FF3" w:rsidRPr="001C4227" w:rsidRDefault="006D4F8E"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510066E0" w14:textId="4097A462" w:rsidR="00742FF3" w:rsidRPr="001C4227" w:rsidRDefault="006D4F8E" w:rsidP="00742FF3">
            <w:pPr>
              <w:spacing w:after="0"/>
              <w:rPr>
                <w:rFonts w:ascii="Arial Narrow" w:eastAsia="Calibri" w:hAnsi="Arial Narrow"/>
                <w:iCs/>
              </w:rPr>
            </w:pPr>
            <w:r w:rsidRPr="00CD747F">
              <w:rPr>
                <w:rFonts w:ascii="Arial Narrow" w:eastAsia="Calibri" w:hAnsi="Arial Narrow"/>
                <w:b/>
                <w:bCs/>
                <w:iCs/>
              </w:rPr>
              <w:t>Figure 2-10:</w:t>
            </w:r>
            <w:r w:rsidRPr="001C4227">
              <w:rPr>
                <w:rFonts w:ascii="Arial Narrow" w:eastAsia="Calibri" w:hAnsi="Arial Narrow"/>
                <w:iCs/>
              </w:rPr>
              <w:t xml:space="preserve"> Public Safety Facilities</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9CEC0A2" w:rsidR="00742FF3" w:rsidRPr="001C4227" w:rsidRDefault="00CD747F" w:rsidP="00742FF3">
            <w:pPr>
              <w:spacing w:after="0"/>
              <w:rPr>
                <w:rFonts w:ascii="Arial Narrow" w:eastAsia="Calibri" w:hAnsi="Arial Narrow"/>
                <w:iCs/>
              </w:rPr>
            </w:pPr>
            <w:r>
              <w:rPr>
                <w:rFonts w:ascii="Arial Narrow" w:eastAsia="Calibri" w:hAnsi="Arial Narrow"/>
                <w:iCs/>
              </w:rPr>
              <w:t>YES</w:t>
            </w:r>
          </w:p>
        </w:tc>
        <w:tc>
          <w:tcPr>
            <w:tcW w:w="4797" w:type="dxa"/>
          </w:tcPr>
          <w:p w14:paraId="12681A0D" w14:textId="77777777" w:rsidR="00CD747F" w:rsidRPr="00CD747F" w:rsidRDefault="00CD747F" w:rsidP="00CD747F">
            <w:pPr>
              <w:spacing w:after="0"/>
              <w:rPr>
                <w:rFonts w:ascii="Arial Narrow" w:eastAsia="Calibri" w:hAnsi="Arial Narrow"/>
                <w:iCs/>
              </w:rPr>
            </w:pPr>
            <w:r w:rsidRPr="00CD747F">
              <w:rPr>
                <w:rFonts w:ascii="Arial Narrow" w:eastAsia="Calibri" w:hAnsi="Arial Narrow"/>
                <w:b/>
                <w:bCs/>
                <w:iCs/>
              </w:rPr>
              <w:t>Policy 1.12:</w:t>
            </w:r>
            <w:r w:rsidRPr="00CD747F">
              <w:rPr>
                <w:rFonts w:ascii="Arial Narrow" w:eastAsia="Calibri" w:hAnsi="Arial Narrow"/>
                <w:iCs/>
              </w:rPr>
              <w:t xml:space="preserve"> Continue to coordinate with the local contracted fire emergency service agency to</w:t>
            </w:r>
          </w:p>
          <w:p w14:paraId="509E7A08" w14:textId="3EBC0F65" w:rsidR="00742FF3" w:rsidRPr="001C4227" w:rsidRDefault="00CD747F" w:rsidP="00CD747F">
            <w:pPr>
              <w:spacing w:after="0"/>
              <w:rPr>
                <w:rFonts w:ascii="Arial Narrow" w:eastAsia="Calibri" w:hAnsi="Arial Narrow"/>
                <w:iCs/>
              </w:rPr>
            </w:pPr>
            <w:r w:rsidRPr="00CD747F">
              <w:rPr>
                <w:rFonts w:ascii="Arial Narrow" w:eastAsia="Calibri" w:hAnsi="Arial Narrow"/>
                <w:iCs/>
              </w:rPr>
              <w:t>determine future emergency needs and required training.</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7FA442CF" w:rsidR="00742FF3" w:rsidRPr="001C4227" w:rsidRDefault="00CD747F" w:rsidP="00742FF3">
            <w:pPr>
              <w:spacing w:after="0"/>
              <w:rPr>
                <w:rFonts w:ascii="Arial Narrow" w:eastAsia="Calibri" w:hAnsi="Arial Narrow"/>
                <w:iCs/>
              </w:rPr>
            </w:pPr>
            <w:r>
              <w:rPr>
                <w:rFonts w:ascii="Arial Narrow" w:eastAsia="Calibri" w:hAnsi="Arial Narrow"/>
                <w:iCs/>
              </w:rPr>
              <w:t>YES</w:t>
            </w:r>
          </w:p>
        </w:tc>
        <w:tc>
          <w:tcPr>
            <w:tcW w:w="4797" w:type="dxa"/>
          </w:tcPr>
          <w:p w14:paraId="24CBEC58" w14:textId="77777777" w:rsidR="00CD747F" w:rsidRPr="00CD747F" w:rsidRDefault="00CD747F" w:rsidP="00CD747F">
            <w:pPr>
              <w:spacing w:after="0"/>
              <w:rPr>
                <w:rFonts w:ascii="Arial Narrow" w:eastAsia="Calibri" w:hAnsi="Arial Narrow"/>
                <w:iCs/>
              </w:rPr>
            </w:pPr>
            <w:r w:rsidRPr="00CD747F">
              <w:rPr>
                <w:rFonts w:ascii="Arial Narrow" w:eastAsia="Calibri" w:hAnsi="Arial Narrow"/>
                <w:b/>
                <w:bCs/>
                <w:iCs/>
              </w:rPr>
              <w:t>Policy 1.12:</w:t>
            </w:r>
            <w:r w:rsidRPr="00CD747F">
              <w:rPr>
                <w:rFonts w:ascii="Arial Narrow" w:eastAsia="Calibri" w:hAnsi="Arial Narrow"/>
                <w:iCs/>
              </w:rPr>
              <w:t xml:space="preserve"> Continue to coordinate with the local contracted fire emergency service agency to</w:t>
            </w:r>
          </w:p>
          <w:p w14:paraId="2F49FEB7" w14:textId="3E36B95F" w:rsidR="00742FF3" w:rsidRPr="001C4227" w:rsidRDefault="00CD747F" w:rsidP="00CD747F">
            <w:pPr>
              <w:spacing w:after="0"/>
              <w:rPr>
                <w:rFonts w:ascii="Arial Narrow" w:eastAsia="Calibri" w:hAnsi="Arial Narrow"/>
                <w:iCs/>
              </w:rPr>
            </w:pPr>
            <w:r w:rsidRPr="00CD747F">
              <w:rPr>
                <w:rFonts w:ascii="Arial Narrow" w:eastAsia="Calibri" w:hAnsi="Arial Narrow"/>
                <w:iCs/>
              </w:rPr>
              <w:t>determine future emergency needs and required training.</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2770A57D" w:rsidR="00742FF3" w:rsidRPr="001C4227" w:rsidRDefault="001C4227" w:rsidP="00742FF3">
            <w:pPr>
              <w:spacing w:after="0"/>
              <w:rPr>
                <w:rFonts w:ascii="Arial Narrow" w:eastAsia="Calibri" w:hAnsi="Arial Narrow"/>
                <w:iCs/>
              </w:rPr>
            </w:pPr>
            <w:r w:rsidRPr="001C4227">
              <w:rPr>
                <w:rFonts w:ascii="Arial Narrow" w:eastAsia="Calibri" w:hAnsi="Arial Narrow"/>
                <w:iCs/>
              </w:rPr>
              <w:t>YES</w:t>
            </w:r>
          </w:p>
        </w:tc>
        <w:tc>
          <w:tcPr>
            <w:tcW w:w="4797" w:type="dxa"/>
          </w:tcPr>
          <w:p w14:paraId="6CE1E4AF" w14:textId="015488D8" w:rsidR="00742FF3" w:rsidRPr="001C4227" w:rsidRDefault="001C4227" w:rsidP="00742FF3">
            <w:pPr>
              <w:spacing w:after="0"/>
              <w:rPr>
                <w:rFonts w:ascii="Arial Narrow" w:eastAsia="Calibri" w:hAnsi="Arial Narrow"/>
                <w:iCs/>
              </w:rPr>
            </w:pPr>
            <w:r w:rsidRPr="00CD747F">
              <w:rPr>
                <w:rFonts w:ascii="Arial Narrow" w:eastAsia="Calibri" w:hAnsi="Arial Narrow"/>
                <w:b/>
                <w:bCs/>
                <w:iCs/>
              </w:rPr>
              <w:t>2.11</w:t>
            </w:r>
            <w:r w:rsidRPr="001C4227">
              <w:rPr>
                <w:rFonts w:ascii="Arial Narrow" w:eastAsia="Calibri" w:hAnsi="Arial Narrow"/>
                <w:iCs/>
              </w:rPr>
              <w:t xml:space="preserve"> Emergency Preparedness</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D8BBA" w14:textId="77777777" w:rsidR="00B728FD" w:rsidRDefault="00B728FD">
      <w:r>
        <w:separator/>
      </w:r>
    </w:p>
    <w:p w14:paraId="49862FF1" w14:textId="77777777" w:rsidR="00B728FD" w:rsidRDefault="00B728FD"/>
    <w:p w14:paraId="3BEA146E" w14:textId="77777777" w:rsidR="00B728FD" w:rsidRDefault="00B728FD" w:rsidP="00B33DC4"/>
  </w:endnote>
  <w:endnote w:type="continuationSeparator" w:id="0">
    <w:p w14:paraId="17B9F6BE" w14:textId="77777777" w:rsidR="00B728FD" w:rsidRDefault="00B728FD">
      <w:r>
        <w:continuationSeparator/>
      </w:r>
    </w:p>
    <w:p w14:paraId="543B8AB9" w14:textId="77777777" w:rsidR="00B728FD" w:rsidRDefault="00B728FD"/>
    <w:p w14:paraId="0B45C1CA" w14:textId="77777777" w:rsidR="00B728FD" w:rsidRDefault="00B728FD"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3F3" w14:textId="18FD4261" w:rsidR="00374C54" w:rsidRDefault="00374C54">
    <w:pPr>
      <w:pStyle w:val="Footer"/>
    </w:pPr>
    <w:r>
      <w:tab/>
    </w:r>
    <w:r>
      <w:tab/>
    </w:r>
    <w:r>
      <w:tab/>
    </w:r>
    <w:r>
      <w:tab/>
    </w:r>
    <w:r>
      <w:tab/>
    </w:r>
    <w:r>
      <w:tab/>
    </w:r>
    <w:r>
      <w:tab/>
    </w:r>
    <w:r>
      <w:tab/>
    </w:r>
    <w:r>
      <w:tab/>
    </w:r>
    <w:r>
      <w:tab/>
    </w:r>
    <w:r>
      <w:tab/>
    </w:r>
    <w:r>
      <w:tab/>
      <w:t>RPC 3(b)(</w:t>
    </w:r>
    <w:proofErr w:type="spellStart"/>
    <w:r>
      <w:t>i</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75F2344D" w:rsidR="003E1B86" w:rsidRDefault="003E1B86">
        <w:pPr>
          <w:pStyle w:val="Footer"/>
        </w:pPr>
        <w:r>
          <w:fldChar w:fldCharType="begin"/>
        </w:r>
        <w:r>
          <w:instrText xml:space="preserve"> PAGE   \* MERGEFORMAT </w:instrText>
        </w:r>
        <w:r>
          <w:fldChar w:fldCharType="separate"/>
        </w:r>
        <w:r w:rsidR="00374C54">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4074612C" w:rsidR="00E348AD" w:rsidRDefault="00E348AD">
        <w:pPr>
          <w:pStyle w:val="Footer"/>
        </w:pPr>
        <w:r>
          <w:fldChar w:fldCharType="begin"/>
        </w:r>
        <w:r>
          <w:instrText xml:space="preserve"> PAGE   \* MERGEFORMAT </w:instrText>
        </w:r>
        <w:r>
          <w:fldChar w:fldCharType="separate"/>
        </w:r>
        <w:r w:rsidR="00374C54">
          <w:rPr>
            <w:noProof/>
          </w:rPr>
          <w:t>11</w:t>
        </w:r>
        <w:r>
          <w:rPr>
            <w:noProof/>
          </w:rPr>
          <w:fldChar w:fldCharType="end"/>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r>
        <w:r w:rsidR="009C30BE">
          <w:rPr>
            <w:noProof/>
          </w:rPr>
          <w:tab/>
          <w:t>RPC 3(b)(i)</w:t>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910B" w14:textId="77777777" w:rsidR="00B728FD" w:rsidRDefault="00B728FD">
      <w:r>
        <w:separator/>
      </w:r>
    </w:p>
    <w:p w14:paraId="526A215F" w14:textId="77777777" w:rsidR="00B728FD" w:rsidRDefault="00B728FD"/>
    <w:p w14:paraId="4C8F1333" w14:textId="77777777" w:rsidR="00B728FD" w:rsidRDefault="00B728FD" w:rsidP="00B33DC4"/>
  </w:footnote>
  <w:footnote w:type="continuationSeparator" w:id="0">
    <w:p w14:paraId="690D5CC1" w14:textId="77777777" w:rsidR="00B728FD" w:rsidRDefault="00B728FD">
      <w:r>
        <w:continuationSeparator/>
      </w:r>
    </w:p>
    <w:p w14:paraId="40AC4BF4" w14:textId="77777777" w:rsidR="00B728FD" w:rsidRDefault="00B728FD"/>
    <w:p w14:paraId="2CEAA270" w14:textId="77777777" w:rsidR="00B728FD" w:rsidRDefault="00B728FD"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Mk+8rfOCD24424ZfSl99UIaJP6JDjRuFTP1nsQ0mlXOhTXtQrfySuRD70IOQIIGa/mXvo3ZxyqO8uqPUmM5Rg==" w:salt="TCGO9OUkBZucvautSktBUA=="/>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2860"/>
    <w:rsid w:val="000049E6"/>
    <w:rsid w:val="00010215"/>
    <w:rsid w:val="000142F8"/>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7EA5"/>
    <w:rsid w:val="000C6369"/>
    <w:rsid w:val="000C770E"/>
    <w:rsid w:val="000D0413"/>
    <w:rsid w:val="000D6D53"/>
    <w:rsid w:val="00113CB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4227"/>
    <w:rsid w:val="001C5D86"/>
    <w:rsid w:val="001C69F8"/>
    <w:rsid w:val="001E5685"/>
    <w:rsid w:val="001F01C0"/>
    <w:rsid w:val="001F1633"/>
    <w:rsid w:val="00212E79"/>
    <w:rsid w:val="002171EB"/>
    <w:rsid w:val="00223CA0"/>
    <w:rsid w:val="00225F98"/>
    <w:rsid w:val="00226655"/>
    <w:rsid w:val="00230EF8"/>
    <w:rsid w:val="002334D6"/>
    <w:rsid w:val="002338FA"/>
    <w:rsid w:val="00236EE4"/>
    <w:rsid w:val="002372AD"/>
    <w:rsid w:val="0023733F"/>
    <w:rsid w:val="00245595"/>
    <w:rsid w:val="00253EC3"/>
    <w:rsid w:val="00254D80"/>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4C54"/>
    <w:rsid w:val="00376760"/>
    <w:rsid w:val="00376B17"/>
    <w:rsid w:val="00377114"/>
    <w:rsid w:val="00391B98"/>
    <w:rsid w:val="003943F8"/>
    <w:rsid w:val="003950D3"/>
    <w:rsid w:val="00397C23"/>
    <w:rsid w:val="003A478B"/>
    <w:rsid w:val="003A6CD6"/>
    <w:rsid w:val="003D0CC3"/>
    <w:rsid w:val="003E1B86"/>
    <w:rsid w:val="003F5725"/>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2DB8"/>
    <w:rsid w:val="0046398B"/>
    <w:rsid w:val="0046687E"/>
    <w:rsid w:val="004706A1"/>
    <w:rsid w:val="00473539"/>
    <w:rsid w:val="00475CFB"/>
    <w:rsid w:val="00475FEB"/>
    <w:rsid w:val="00483B2F"/>
    <w:rsid w:val="00496519"/>
    <w:rsid w:val="004A7FD7"/>
    <w:rsid w:val="004B12E4"/>
    <w:rsid w:val="004B6C2A"/>
    <w:rsid w:val="004C3FB5"/>
    <w:rsid w:val="004C4431"/>
    <w:rsid w:val="004C44BF"/>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2D90"/>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489B"/>
    <w:rsid w:val="00651AB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D4F8E"/>
    <w:rsid w:val="006D75FA"/>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4573"/>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04A50"/>
    <w:rsid w:val="00816E94"/>
    <w:rsid w:val="00817777"/>
    <w:rsid w:val="00834662"/>
    <w:rsid w:val="008360C1"/>
    <w:rsid w:val="008403AE"/>
    <w:rsid w:val="00843E48"/>
    <w:rsid w:val="00843FB8"/>
    <w:rsid w:val="0084425F"/>
    <w:rsid w:val="00846B5F"/>
    <w:rsid w:val="0086242F"/>
    <w:rsid w:val="008647A2"/>
    <w:rsid w:val="0088391A"/>
    <w:rsid w:val="00887F60"/>
    <w:rsid w:val="00890D6E"/>
    <w:rsid w:val="008A4F24"/>
    <w:rsid w:val="008A5715"/>
    <w:rsid w:val="008B62DF"/>
    <w:rsid w:val="008C053E"/>
    <w:rsid w:val="008C5CFD"/>
    <w:rsid w:val="008D0953"/>
    <w:rsid w:val="008D4E10"/>
    <w:rsid w:val="008E1EB3"/>
    <w:rsid w:val="008E2034"/>
    <w:rsid w:val="008F44D6"/>
    <w:rsid w:val="00905A76"/>
    <w:rsid w:val="00917FC0"/>
    <w:rsid w:val="00921AA5"/>
    <w:rsid w:val="00921B19"/>
    <w:rsid w:val="00922009"/>
    <w:rsid w:val="0092242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95D20"/>
    <w:rsid w:val="00997A1C"/>
    <w:rsid w:val="009B231D"/>
    <w:rsid w:val="009C01BD"/>
    <w:rsid w:val="009C19DE"/>
    <w:rsid w:val="009C2111"/>
    <w:rsid w:val="009C30BE"/>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28FD"/>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D747F"/>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7057E"/>
    <w:rsid w:val="00D73496"/>
    <w:rsid w:val="00D9262A"/>
    <w:rsid w:val="00D92A5E"/>
    <w:rsid w:val="00D97478"/>
    <w:rsid w:val="00DA52EE"/>
    <w:rsid w:val="00DA5A9F"/>
    <w:rsid w:val="00DA66BF"/>
    <w:rsid w:val="00DB1722"/>
    <w:rsid w:val="00DB2684"/>
    <w:rsid w:val="00DB435D"/>
    <w:rsid w:val="00DB47C1"/>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A6E62"/>
    <w:rsid w:val="00EC43F3"/>
    <w:rsid w:val="00EC5022"/>
    <w:rsid w:val="00EC54D6"/>
    <w:rsid w:val="00ED0150"/>
    <w:rsid w:val="00ED5A08"/>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8DB3-0B6B-4EE2-B59F-B3B0FE40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3984</Words>
  <Characters>24101</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7</cp:revision>
  <cp:lastPrinted>2016-07-12T23:13:00Z</cp:lastPrinted>
  <dcterms:created xsi:type="dcterms:W3CDTF">2021-09-14T17:18:00Z</dcterms:created>
  <dcterms:modified xsi:type="dcterms:W3CDTF">2021-10-21T13:17:00Z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