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line="508" w:lineRule="exact"/>
        <w:jc w:val="center"/>
        <w:rPr>
          <w:rFonts w:ascii="Arial" w:hAnsi="Arial" w:cs="Arial"/>
          <w:b/>
          <w:sz w:val="24"/>
          <w:szCs w:val="24"/>
          <w:u w:val="single"/>
        </w:rPr>
      </w:pPr>
      <w:commentRangeStart w:id="0"/>
      <w:r w:rsidRPr="001E4121">
        <w:rPr>
          <w:rFonts w:ascii="Arial" w:hAnsi="Arial" w:cs="Arial"/>
          <w:b/>
          <w:color w:val="FF0000"/>
          <w:sz w:val="24"/>
          <w:szCs w:val="24"/>
          <w:u w:val="single"/>
        </w:rPr>
        <w:t xml:space="preserve">Geographically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commentRangeEnd w:id="0"/>
      <w:r w:rsidR="00CE7CC5">
        <w:rPr>
          <w:rStyle w:val="CommentReference"/>
        </w:rPr>
        <w:commentReference w:id="0"/>
      </w:r>
    </w:p>
    <w:p w14:paraId="41FB6E70" w14:textId="77777777" w:rsidR="00212126" w:rsidRDefault="00212126" w:rsidP="00212126">
      <w:pPr>
        <w:spacing w:line="508" w:lineRule="exact"/>
        <w:jc w:val="center"/>
        <w:rPr>
          <w:rFonts w:ascii="Arial" w:hAnsi="Arial" w:cs="Arial"/>
          <w:b/>
          <w:sz w:val="24"/>
          <w:szCs w:val="24"/>
        </w:rPr>
      </w:pPr>
      <w:bookmarkStart w:id="1" w:name="_Hlk41917645"/>
      <w:r>
        <w:rPr>
          <w:rFonts w:ascii="Arial" w:hAnsi="Arial" w:cs="Arial"/>
          <w:b/>
          <w:sz w:val="24"/>
          <w:szCs w:val="24"/>
        </w:rPr>
        <w:t>Title 14 of the California Code of Regulations</w:t>
      </w:r>
    </w:p>
    <w:p w14:paraId="65C88412" w14:textId="77777777" w:rsidR="00212126" w:rsidRDefault="00212126" w:rsidP="00212126">
      <w:pPr>
        <w:spacing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line="508" w:lineRule="exact"/>
        <w:jc w:val="center"/>
        <w:rPr>
          <w:rFonts w:ascii="Arial" w:hAnsi="Arial" w:cs="Arial"/>
          <w:b/>
          <w:sz w:val="24"/>
          <w:szCs w:val="24"/>
        </w:rPr>
      </w:pPr>
      <w:r>
        <w:rPr>
          <w:rFonts w:ascii="Arial" w:hAnsi="Arial" w:cs="Arial"/>
          <w:b/>
          <w:sz w:val="24"/>
          <w:szCs w:val="24"/>
        </w:rPr>
        <w:t xml:space="preserve">Subchapter </w:t>
      </w:r>
      <w:bookmarkEnd w:id="1"/>
      <w:r w:rsidR="00FF1E88">
        <w:rPr>
          <w:rFonts w:ascii="Arial" w:hAnsi="Arial" w:cs="Arial"/>
          <w:b/>
          <w:sz w:val="24"/>
          <w:szCs w:val="24"/>
        </w:rPr>
        <w:t>7</w:t>
      </w:r>
    </w:p>
    <w:p w14:paraId="46BF206E" w14:textId="26BF2354" w:rsidR="00EB6ECE" w:rsidRDefault="00D34F03" w:rsidP="00EB6ECE">
      <w:pPr>
        <w:spacing w:line="508" w:lineRule="exact"/>
        <w:jc w:val="center"/>
        <w:rPr>
          <w:rFonts w:ascii="Arial" w:hAnsi="Arial" w:cs="Arial"/>
          <w:b/>
          <w:sz w:val="24"/>
          <w:szCs w:val="24"/>
        </w:rPr>
      </w:pPr>
      <w:r>
        <w:rPr>
          <w:rFonts w:ascii="Arial" w:hAnsi="Arial" w:cs="Arial"/>
          <w:b/>
          <w:sz w:val="24"/>
          <w:szCs w:val="24"/>
        </w:rPr>
        <w:t>1038, 1038.1, 1038.3</w:t>
      </w:r>
    </w:p>
    <w:p w14:paraId="604FE25C" w14:textId="3C06F97F" w:rsidR="006900B3" w:rsidRPr="00A35B1B" w:rsidRDefault="006900B3" w:rsidP="006900B3">
      <w:pPr>
        <w:spacing w:line="508" w:lineRule="exact"/>
        <w:rPr>
          <w:rFonts w:ascii="Arial" w:hAnsi="Arial" w:cs="Arial"/>
          <w:sz w:val="24"/>
          <w:szCs w:val="24"/>
        </w:rPr>
      </w:pPr>
      <w:r w:rsidRPr="00A35B1B">
        <w:rPr>
          <w:rFonts w:ascii="Arial" w:hAnsi="Arial" w:cs="Arial"/>
          <w:b/>
          <w:bCs/>
        </w:rPr>
        <w:t>1038 Exemption</w:t>
      </w:r>
    </w:p>
    <w:p w14:paraId="00D7393C" w14:textId="5D317FD7" w:rsidR="006900B3" w:rsidRPr="00732520" w:rsidRDefault="00FF1E88" w:rsidP="00A763DF">
      <w:pPr>
        <w:spacing w:line="508" w:lineRule="exact"/>
        <w:ind w:left="360"/>
        <w:rPr>
          <w:rFonts w:ascii="Arial" w:hAnsi="Arial" w:cs="Arial"/>
          <w:sz w:val="24"/>
          <w:szCs w:val="24"/>
        </w:rPr>
      </w:pPr>
      <w:r w:rsidRPr="00A35B1B">
        <w:rPr>
          <w:rFonts w:ascii="Arial" w:hAnsi="Arial" w:cs="Arial"/>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1A3E57">
        <w:rPr>
          <w:rFonts w:ascii="Arial" w:hAnsi="Arial" w:cs="Arial"/>
          <w:color w:val="FF0000"/>
          <w:sz w:val="24"/>
          <w:szCs w:val="24"/>
        </w:rPr>
        <w:t xml:space="preserve"> </w:t>
      </w:r>
      <w:r w:rsidR="00DA253A" w:rsidRPr="001A3E57">
        <w:rPr>
          <w:rFonts w:ascii="Arial" w:hAnsi="Arial" w:cs="Arial"/>
          <w:color w:val="FF0000"/>
          <w:sz w:val="24"/>
          <w:szCs w:val="24"/>
          <w:u w:val="single"/>
        </w:rPr>
        <w:t>or until</w:t>
      </w:r>
      <w:r w:rsidR="001A3E57" w:rsidRPr="001A3E57">
        <w:rPr>
          <w:rFonts w:ascii="Arial" w:hAnsi="Arial" w:cs="Arial"/>
          <w:color w:val="FF0000"/>
          <w:sz w:val="24"/>
          <w:szCs w:val="24"/>
          <w:u w:val="single"/>
        </w:rPr>
        <w:t xml:space="preserve"> </w:t>
      </w:r>
      <w:r w:rsidR="00FA142F" w:rsidRPr="001A3E57">
        <w:rPr>
          <w:rFonts w:ascii="Arial" w:hAnsi="Arial" w:cs="Arial"/>
          <w:color w:val="FF0000"/>
          <w:sz w:val="24"/>
          <w:szCs w:val="24"/>
          <w:u w:val="single"/>
        </w:rPr>
        <w:t>the</w:t>
      </w:r>
      <w:r w:rsidR="00DA253A" w:rsidRPr="001A3E57">
        <w:rPr>
          <w:rFonts w:ascii="Arial" w:hAnsi="Arial" w:cs="Arial"/>
          <w:color w:val="FF0000"/>
          <w:sz w:val="24"/>
          <w:szCs w:val="24"/>
          <w:u w:val="single"/>
        </w:rPr>
        <w:t xml:space="preserve"> submitter notifies the director of the termination of </w:t>
      </w:r>
      <w:r w:rsidR="00BE22F8">
        <w:rPr>
          <w:rFonts w:ascii="Arial" w:hAnsi="Arial" w:cs="Arial"/>
          <w:color w:val="FF0000"/>
          <w:sz w:val="24"/>
          <w:szCs w:val="24"/>
          <w:u w:val="single"/>
        </w:rPr>
        <w:t>the notice</w:t>
      </w:r>
      <w:r w:rsidR="00911361" w:rsidRPr="001A3E57">
        <w:rPr>
          <w:rFonts w:ascii="Arial" w:hAnsi="Arial" w:cs="Arial"/>
          <w:color w:val="FF0000"/>
          <w:sz w:val="24"/>
          <w:szCs w:val="24"/>
          <w:u w:val="single"/>
        </w:rPr>
        <w:t>, whichever occurs sooner</w:t>
      </w:r>
      <w:r w:rsidR="00DA253A" w:rsidRPr="001A3E57">
        <w:rPr>
          <w:rFonts w:ascii="Arial" w:hAnsi="Arial" w:cs="Arial"/>
          <w:color w:val="FF0000"/>
          <w:sz w:val="24"/>
          <w:szCs w:val="24"/>
        </w:rPr>
        <w:t xml:space="preserve"> </w:t>
      </w:r>
      <w:r w:rsidRPr="00A35B1B">
        <w:rPr>
          <w:rFonts w:ascii="Arial" w:hAnsi="Arial" w:cs="Arial"/>
          <w:sz w:val="24"/>
          <w:szCs w:val="24"/>
        </w:rPr>
        <w:t xml:space="preserve">and shall comply with all operational provisions of the FPA and District </w:t>
      </w:r>
      <w:r w:rsidRPr="00EB322A">
        <w:rPr>
          <w:rFonts w:ascii="Arial" w:hAnsi="Arial" w:cs="Arial"/>
          <w:sz w:val="24"/>
          <w:szCs w:val="24"/>
        </w:rPr>
        <w:t>Forest</w:t>
      </w:r>
      <w:r w:rsidRPr="00A35B1B">
        <w:rPr>
          <w:rFonts w:ascii="Arial" w:hAnsi="Arial" w:cs="Arial"/>
          <w:sz w:val="24"/>
          <w:szCs w:val="24"/>
        </w:rPr>
        <w:t xml:space="preserve"> Practices Rules applicable to “Timber Harvest Plan”, “THP”, and “Plan” definitions per 14 CCR </w:t>
      </w:r>
      <w:bookmarkStart w:id="2" w:name="_Hlk186449609"/>
      <w:r w:rsidRPr="00A35B1B">
        <w:rPr>
          <w:rFonts w:ascii="Arial" w:hAnsi="Arial" w:cs="Arial"/>
          <w:sz w:val="24"/>
          <w:szCs w:val="24"/>
        </w:rPr>
        <w:t>§</w:t>
      </w:r>
      <w:bookmarkEnd w:id="2"/>
      <w:r w:rsidRPr="00A35B1B">
        <w:rPr>
          <w:rFonts w:ascii="Arial" w:hAnsi="Arial" w:cs="Arial"/>
          <w:sz w:val="24"/>
          <w:szCs w:val="24"/>
        </w:rPr>
        <w:t xml:space="preserve"> 895.1.</w:t>
      </w:r>
      <w:r w:rsidR="000B1BEF" w:rsidRPr="00DC7836">
        <w:rPr>
          <w:rFonts w:ascii="Arial" w:hAnsi="Arial" w:cs="Arial"/>
          <w:i/>
          <w:iCs/>
          <w:color w:val="FF0000"/>
          <w:sz w:val="24"/>
          <w:szCs w:val="24"/>
        </w:rPr>
        <w:t xml:space="preserve"> </w:t>
      </w:r>
      <w:bookmarkStart w:id="3" w:name="_Hlk176272872"/>
      <w:r w:rsidR="00574A15" w:rsidRPr="00DC7836">
        <w:rPr>
          <w:rFonts w:ascii="Arial" w:hAnsi="Arial" w:cs="Arial"/>
          <w:color w:val="FF0000"/>
          <w:sz w:val="24"/>
          <w:szCs w:val="24"/>
          <w:u w:val="single"/>
        </w:rPr>
        <w:t xml:space="preserve">Exemption </w:t>
      </w:r>
      <w:r w:rsidR="00062669">
        <w:rPr>
          <w:rFonts w:ascii="Arial" w:hAnsi="Arial" w:cs="Arial"/>
          <w:color w:val="FF0000"/>
          <w:sz w:val="24"/>
          <w:szCs w:val="24"/>
          <w:u w:val="single"/>
        </w:rPr>
        <w:t>N</w:t>
      </w:r>
      <w:r w:rsidR="005F1B47">
        <w:rPr>
          <w:rFonts w:ascii="Arial" w:hAnsi="Arial" w:cs="Arial"/>
          <w:color w:val="FF0000"/>
          <w:sz w:val="24"/>
          <w:szCs w:val="24"/>
          <w:u w:val="single"/>
        </w:rPr>
        <w:t>otices</w:t>
      </w:r>
      <w:r w:rsidR="00574A15" w:rsidRPr="00DC7836">
        <w:rPr>
          <w:rFonts w:ascii="Arial" w:hAnsi="Arial" w:cs="Arial"/>
          <w:color w:val="FF0000"/>
          <w:sz w:val="24"/>
          <w:szCs w:val="24"/>
          <w:u w:val="single"/>
        </w:rPr>
        <w:t xml:space="preserve"> authorized by this section shall not have a harvest area that geographically overlaps with the harvest area of another non-expired</w:t>
      </w:r>
      <w:r w:rsidR="00F106CF">
        <w:rPr>
          <w:rFonts w:ascii="Arial" w:hAnsi="Arial" w:cs="Arial"/>
          <w:color w:val="FF0000"/>
          <w:sz w:val="24"/>
          <w:szCs w:val="24"/>
          <w:u w:val="single"/>
        </w:rPr>
        <w:t xml:space="preserve"> </w:t>
      </w:r>
      <w:r w:rsidR="00C77C8A">
        <w:rPr>
          <w:rFonts w:ascii="Arial" w:hAnsi="Arial" w:cs="Arial"/>
          <w:color w:val="FF0000"/>
          <w:sz w:val="24"/>
          <w:szCs w:val="24"/>
          <w:u w:val="single"/>
        </w:rPr>
        <w:t>Notice or Plan</w:t>
      </w:r>
      <w:r w:rsidR="00574A15" w:rsidRPr="00DC7836">
        <w:rPr>
          <w:rFonts w:ascii="Arial" w:hAnsi="Arial" w:cs="Arial"/>
          <w:color w:val="FF0000"/>
          <w:sz w:val="24"/>
          <w:szCs w:val="24"/>
          <w:u w:val="single"/>
        </w:rPr>
        <w:t xml:space="preserve"> </w:t>
      </w:r>
      <w:proofErr w:type="gramStart"/>
      <w:r w:rsidR="00574A15" w:rsidRPr="00DC7836">
        <w:rPr>
          <w:rFonts w:ascii="Arial" w:hAnsi="Arial" w:cs="Arial"/>
          <w:color w:val="FF0000"/>
          <w:sz w:val="24"/>
          <w:szCs w:val="24"/>
          <w:u w:val="single"/>
        </w:rPr>
        <w:t>with the exception of</w:t>
      </w:r>
      <w:proofErr w:type="gramEnd"/>
      <w:r w:rsidR="00574A15" w:rsidRPr="00DC7836">
        <w:rPr>
          <w:rFonts w:ascii="Arial" w:hAnsi="Arial" w:cs="Arial"/>
          <w:color w:val="FF0000"/>
          <w:sz w:val="24"/>
          <w:szCs w:val="24"/>
          <w:u w:val="single"/>
        </w:rPr>
        <w:t xml:space="preserve"> an approved NTMP or WFMP</w:t>
      </w:r>
      <w:r w:rsidR="00062669" w:rsidRPr="00EB322A">
        <w:rPr>
          <w:rFonts w:ascii="Arial" w:hAnsi="Arial" w:cs="Arial"/>
          <w:color w:val="FF0000"/>
          <w:sz w:val="24"/>
          <w:szCs w:val="24"/>
          <w:u w:val="single"/>
        </w:rPr>
        <w:t xml:space="preserve"> or as per 1038(b)(1)</w:t>
      </w:r>
      <w:r w:rsidR="00624CA2" w:rsidRPr="00EB322A">
        <w:rPr>
          <w:rFonts w:ascii="Arial" w:hAnsi="Arial" w:cs="Arial"/>
          <w:color w:val="FF0000"/>
          <w:sz w:val="24"/>
          <w:szCs w:val="24"/>
          <w:u w:val="single"/>
        </w:rPr>
        <w:t xml:space="preserve">. </w:t>
      </w:r>
      <w:bookmarkEnd w:id="3"/>
      <w:r w:rsidRPr="00A35B1B">
        <w:rPr>
          <w:rFonts w:ascii="Arial" w:hAnsi="Arial" w:cs="Arial"/>
          <w:sz w:val="24"/>
          <w:szCs w:val="24"/>
        </w:rPr>
        <w:t>In-lieu practices within WLPZs as specified under Article 6 of these Rules, 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1049F8B7" w:rsidR="006900B3" w:rsidRPr="00A35B1B" w:rsidRDefault="006900B3" w:rsidP="006900B3">
      <w:pPr>
        <w:spacing w:line="508" w:lineRule="exact"/>
        <w:ind w:left="360"/>
        <w:rPr>
          <w:rFonts w:ascii="Arial" w:hAnsi="Arial" w:cs="Arial"/>
          <w:sz w:val="24"/>
          <w:szCs w:val="24"/>
        </w:rPr>
      </w:pPr>
      <w:r w:rsidRPr="00A35B1B">
        <w:rPr>
          <w:rFonts w:ascii="Arial" w:hAnsi="Arial" w:cs="Arial"/>
          <w:sz w:val="24"/>
          <w:szCs w:val="24"/>
        </w:rPr>
        <w:t xml:space="preserve">(a) Harvesting Christmas trees. </w:t>
      </w:r>
    </w:p>
    <w:p w14:paraId="10D60170" w14:textId="5A22F378" w:rsidR="006900B3" w:rsidRDefault="006900B3" w:rsidP="006900B3">
      <w:pPr>
        <w:spacing w:line="508" w:lineRule="exact"/>
        <w:ind w:left="360"/>
        <w:rPr>
          <w:rFonts w:ascii="Arial" w:hAnsi="Arial" w:cs="Arial"/>
          <w:sz w:val="24"/>
          <w:szCs w:val="24"/>
        </w:rPr>
      </w:pPr>
      <w:r w:rsidRPr="00A35B1B">
        <w:rPr>
          <w:rFonts w:ascii="Arial" w:hAnsi="Arial" w:cs="Arial"/>
          <w:sz w:val="24"/>
          <w:szCs w:val="24"/>
        </w:rPr>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3E4190C5" w14:textId="19F05ED9" w:rsidR="001F37EA" w:rsidRPr="00EB322A" w:rsidRDefault="00865842" w:rsidP="00EB322A">
      <w:pPr>
        <w:spacing w:line="508" w:lineRule="exact"/>
        <w:ind w:left="810"/>
        <w:rPr>
          <w:rFonts w:ascii="Arial" w:hAnsi="Arial" w:cs="Arial"/>
          <w:color w:val="FF0000"/>
          <w:sz w:val="24"/>
          <w:szCs w:val="24"/>
          <w:u w:val="single"/>
        </w:rPr>
      </w:pPr>
      <w:r w:rsidRPr="00EB322A">
        <w:rPr>
          <w:rFonts w:ascii="Arial" w:hAnsi="Arial" w:cs="Arial"/>
          <w:color w:val="FF0000"/>
          <w:sz w:val="24"/>
          <w:szCs w:val="24"/>
          <w:u w:val="single"/>
        </w:rPr>
        <w:lastRenderedPageBreak/>
        <w:t>(1) In instance</w:t>
      </w:r>
      <w:r w:rsidR="00944E5F" w:rsidRPr="00EB322A">
        <w:rPr>
          <w:rFonts w:ascii="Arial" w:hAnsi="Arial" w:cs="Arial"/>
          <w:color w:val="FF0000"/>
          <w:sz w:val="24"/>
          <w:szCs w:val="24"/>
          <w:u w:val="single"/>
        </w:rPr>
        <w:t>s</w:t>
      </w:r>
      <w:r w:rsidRPr="00EB322A">
        <w:rPr>
          <w:rFonts w:ascii="Arial" w:hAnsi="Arial" w:cs="Arial"/>
          <w:color w:val="FF0000"/>
          <w:sz w:val="24"/>
          <w:szCs w:val="24"/>
          <w:u w:val="single"/>
        </w:rPr>
        <w:t xml:space="preserve"> where </w:t>
      </w:r>
      <w:r w:rsidR="001F37EA" w:rsidRPr="00EB322A">
        <w:rPr>
          <w:rFonts w:ascii="Arial" w:hAnsi="Arial" w:cs="Arial"/>
          <w:color w:val="FF0000"/>
          <w:sz w:val="24"/>
          <w:szCs w:val="24"/>
          <w:u w:val="single"/>
        </w:rPr>
        <w:t>tree mortality is occurring within the footprint</w:t>
      </w:r>
      <w:r w:rsidRPr="00EB322A">
        <w:rPr>
          <w:rFonts w:ascii="Arial" w:hAnsi="Arial" w:cs="Arial"/>
          <w:color w:val="FF0000"/>
          <w:sz w:val="24"/>
          <w:szCs w:val="24"/>
          <w:u w:val="single"/>
        </w:rPr>
        <w:t xml:space="preserve"> of an approved Timber Harvest Plan (THP)</w:t>
      </w:r>
      <w:r w:rsidR="001F37EA" w:rsidRPr="00EB322A">
        <w:rPr>
          <w:rFonts w:ascii="Arial" w:hAnsi="Arial" w:cs="Arial"/>
          <w:color w:val="FF0000"/>
          <w:sz w:val="24"/>
          <w:szCs w:val="24"/>
          <w:u w:val="single"/>
        </w:rPr>
        <w:t xml:space="preserve"> and timber operations have not </w:t>
      </w:r>
      <w:r w:rsidR="00154D38" w:rsidRPr="00EB322A">
        <w:rPr>
          <w:rFonts w:ascii="Arial" w:hAnsi="Arial" w:cs="Arial"/>
          <w:color w:val="FF0000"/>
          <w:sz w:val="24"/>
          <w:szCs w:val="24"/>
          <w:u w:val="single"/>
        </w:rPr>
        <w:t>commenced</w:t>
      </w:r>
      <w:r w:rsidR="001F37EA" w:rsidRPr="00EB322A">
        <w:rPr>
          <w:rFonts w:ascii="Arial" w:hAnsi="Arial" w:cs="Arial"/>
          <w:color w:val="FF0000"/>
          <w:sz w:val="24"/>
          <w:szCs w:val="24"/>
          <w:u w:val="single"/>
        </w:rPr>
        <w:t xml:space="preserve"> or have not been completed the plan submitter may submit a notice </w:t>
      </w:r>
      <w:r w:rsidR="00E47B66" w:rsidRPr="00EB322A">
        <w:rPr>
          <w:rFonts w:ascii="Arial" w:hAnsi="Arial" w:cs="Arial"/>
          <w:color w:val="FF0000"/>
          <w:sz w:val="24"/>
          <w:szCs w:val="24"/>
          <w:u w:val="single"/>
        </w:rPr>
        <w:t>per</w:t>
      </w:r>
      <w:r w:rsidR="001F37EA" w:rsidRPr="00EB322A">
        <w:rPr>
          <w:rFonts w:ascii="Arial" w:hAnsi="Arial" w:cs="Arial"/>
          <w:color w:val="FF0000"/>
          <w:sz w:val="24"/>
          <w:szCs w:val="24"/>
          <w:u w:val="single"/>
        </w:rPr>
        <w:t xml:space="preserve"> 14</w:t>
      </w:r>
      <w:r w:rsidR="005D328E" w:rsidRPr="00EB322A">
        <w:rPr>
          <w:rFonts w:ascii="Arial" w:hAnsi="Arial" w:cs="Arial"/>
          <w:color w:val="FF0000"/>
          <w:sz w:val="24"/>
          <w:szCs w:val="24"/>
          <w:u w:val="single"/>
        </w:rPr>
        <w:t xml:space="preserve"> §</w:t>
      </w:r>
      <w:r w:rsidR="001F37EA" w:rsidRPr="00EB322A">
        <w:rPr>
          <w:rFonts w:ascii="Arial" w:hAnsi="Arial" w:cs="Arial"/>
          <w:color w:val="FF0000"/>
          <w:sz w:val="24"/>
          <w:szCs w:val="24"/>
          <w:u w:val="single"/>
        </w:rPr>
        <w:t xml:space="preserve"> CCR 1038(b) to harvest trees that are dead</w:t>
      </w:r>
      <w:r w:rsidR="00F92603" w:rsidRPr="00EB322A">
        <w:rPr>
          <w:rFonts w:ascii="Arial" w:hAnsi="Arial" w:cs="Arial"/>
          <w:color w:val="FF0000"/>
          <w:sz w:val="24"/>
          <w:szCs w:val="24"/>
          <w:u w:val="single"/>
        </w:rPr>
        <w:t xml:space="preserve">, </w:t>
      </w:r>
      <w:r w:rsidR="00154D38" w:rsidRPr="00EB322A">
        <w:rPr>
          <w:rFonts w:ascii="Arial" w:hAnsi="Arial" w:cs="Arial"/>
          <w:color w:val="FF0000"/>
          <w:sz w:val="24"/>
          <w:szCs w:val="24"/>
          <w:u w:val="single"/>
        </w:rPr>
        <w:t>dying</w:t>
      </w:r>
      <w:r w:rsidR="00F92603" w:rsidRPr="00EB322A">
        <w:rPr>
          <w:rFonts w:ascii="Arial" w:hAnsi="Arial" w:cs="Arial"/>
          <w:color w:val="FF0000"/>
          <w:sz w:val="24"/>
          <w:szCs w:val="24"/>
          <w:u w:val="single"/>
        </w:rPr>
        <w:t xml:space="preserve"> and diseased</w:t>
      </w:r>
      <w:r w:rsidR="00EB322A" w:rsidRPr="00EB322A">
        <w:rPr>
          <w:rFonts w:ascii="Arial" w:hAnsi="Arial" w:cs="Arial"/>
          <w:color w:val="FF0000"/>
          <w:sz w:val="24"/>
          <w:szCs w:val="24"/>
          <w:u w:val="single"/>
        </w:rPr>
        <w:t>, t</w:t>
      </w:r>
      <w:r w:rsidR="00F92603" w:rsidRPr="00EB322A">
        <w:rPr>
          <w:rFonts w:ascii="Arial" w:hAnsi="Arial" w:cs="Arial"/>
          <w:color w:val="FF0000"/>
          <w:sz w:val="24"/>
          <w:szCs w:val="24"/>
          <w:u w:val="single"/>
        </w:rPr>
        <w:t>he removal of these trees will not impact the silviculture of the approved plan.</w:t>
      </w:r>
      <w:r w:rsidR="001F37EA" w:rsidRPr="00EB322A">
        <w:rPr>
          <w:rFonts w:ascii="Arial" w:hAnsi="Arial" w:cs="Arial"/>
          <w:color w:val="FF0000"/>
          <w:sz w:val="24"/>
          <w:szCs w:val="24"/>
          <w:u w:val="single"/>
        </w:rPr>
        <w:t xml:space="preserve">  The Notice shall</w:t>
      </w:r>
      <w:r w:rsidR="00EB322A" w:rsidRPr="00EB322A">
        <w:rPr>
          <w:rFonts w:ascii="Arial" w:hAnsi="Arial" w:cs="Arial"/>
          <w:color w:val="FF0000"/>
          <w:sz w:val="24"/>
          <w:szCs w:val="24"/>
          <w:u w:val="single"/>
        </w:rPr>
        <w:t xml:space="preserve"> b</w:t>
      </w:r>
      <w:r w:rsidR="001F37EA" w:rsidRPr="00EB322A">
        <w:rPr>
          <w:rFonts w:ascii="Arial" w:hAnsi="Arial" w:cs="Arial"/>
          <w:color w:val="FF0000"/>
          <w:sz w:val="24"/>
          <w:szCs w:val="24"/>
          <w:u w:val="single"/>
        </w:rPr>
        <w:t xml:space="preserve">e </w:t>
      </w:r>
      <w:r w:rsidR="00EB322A" w:rsidRPr="00EB322A">
        <w:rPr>
          <w:rFonts w:ascii="Arial" w:hAnsi="Arial" w:cs="Arial"/>
          <w:color w:val="FF0000"/>
          <w:sz w:val="24"/>
          <w:szCs w:val="24"/>
          <w:u w:val="single"/>
        </w:rPr>
        <w:t>s</w:t>
      </w:r>
      <w:r w:rsidR="00451D76" w:rsidRPr="00EB322A">
        <w:rPr>
          <w:rFonts w:ascii="Arial" w:hAnsi="Arial" w:cs="Arial"/>
          <w:color w:val="FF0000"/>
          <w:sz w:val="24"/>
          <w:szCs w:val="24"/>
          <w:u w:val="single"/>
        </w:rPr>
        <w:t xml:space="preserve">igned </w:t>
      </w:r>
      <w:r w:rsidR="001F37EA" w:rsidRPr="00EB322A">
        <w:rPr>
          <w:rFonts w:ascii="Arial" w:hAnsi="Arial" w:cs="Arial"/>
          <w:color w:val="FF0000"/>
          <w:sz w:val="24"/>
          <w:szCs w:val="24"/>
          <w:u w:val="single"/>
        </w:rPr>
        <w:t>by the RPF</w:t>
      </w:r>
      <w:r w:rsidR="006E37A1" w:rsidRPr="00EB322A">
        <w:rPr>
          <w:rFonts w:ascii="Arial" w:hAnsi="Arial" w:cs="Arial"/>
          <w:color w:val="FF0000"/>
          <w:sz w:val="24"/>
          <w:szCs w:val="24"/>
          <w:u w:val="single"/>
        </w:rPr>
        <w:t xml:space="preserve"> listed as being </w:t>
      </w:r>
      <w:r w:rsidR="001F37EA" w:rsidRPr="00EB322A">
        <w:rPr>
          <w:rFonts w:ascii="Arial" w:hAnsi="Arial" w:cs="Arial"/>
          <w:color w:val="FF0000"/>
          <w:sz w:val="24"/>
          <w:szCs w:val="24"/>
          <w:u w:val="single"/>
        </w:rPr>
        <w:t xml:space="preserve">responsible for </w:t>
      </w:r>
      <w:r w:rsidR="006E37A1" w:rsidRPr="00EB322A">
        <w:rPr>
          <w:rFonts w:ascii="Arial" w:hAnsi="Arial" w:cs="Arial"/>
          <w:color w:val="FF0000"/>
          <w:sz w:val="24"/>
          <w:szCs w:val="24"/>
          <w:u w:val="single"/>
        </w:rPr>
        <w:t xml:space="preserve">providing professional advice and for </w:t>
      </w:r>
      <w:r w:rsidR="001F37EA" w:rsidRPr="00EB322A">
        <w:rPr>
          <w:rFonts w:ascii="Arial" w:hAnsi="Arial" w:cs="Arial"/>
          <w:color w:val="FF0000"/>
          <w:sz w:val="24"/>
          <w:szCs w:val="24"/>
          <w:u w:val="single"/>
        </w:rPr>
        <w:t>the administration of the THP.</w:t>
      </w:r>
    </w:p>
    <w:p w14:paraId="4525C857" w14:textId="77B2BDD9" w:rsidR="00E61014" w:rsidRPr="00A35B1B" w:rsidRDefault="00E61014" w:rsidP="006900B3">
      <w:pPr>
        <w:spacing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The cutting or removal of trees in compliance with PRC §§ 4290 and 4291, which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to reduce fire spread, duration and intensity. The requirements of this subsection shall not supersede the requirements of PRC § 4291.</w:t>
      </w:r>
    </w:p>
    <w:p w14:paraId="54019602"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(4) In addition to the surface fuel treatment described in 14 CCR § 1038(c)(3), the Harvest Area must meet the vegetation treatment standards in PRC § 4584(</w:t>
      </w:r>
      <w:proofErr w:type="spellStart"/>
      <w:r w:rsidRPr="00A35B1B">
        <w:rPr>
          <w:rFonts w:ascii="Arial" w:hAnsi="Arial" w:cs="Arial"/>
          <w:sz w:val="24"/>
          <w:szCs w:val="24"/>
        </w:rPr>
        <w:t>i</w:t>
      </w:r>
      <w:proofErr w:type="spellEnd"/>
      <w:r w:rsidRPr="00A35B1B">
        <w:rPr>
          <w:rFonts w:ascii="Arial" w:hAnsi="Arial" w:cs="Arial"/>
          <w:sz w:val="24"/>
          <w:szCs w:val="24"/>
        </w:rPr>
        <w:t xml:space="preserve">)(1) to (2)(A) illustrated in Board Technical Rule Addendum No.4 within </w:t>
      </w:r>
      <w:r w:rsidRPr="00A35B1B">
        <w:rPr>
          <w:rFonts w:ascii="Arial" w:hAnsi="Arial" w:cs="Arial"/>
          <w:sz w:val="24"/>
          <w:szCs w:val="24"/>
        </w:rPr>
        <w:lastRenderedPageBreak/>
        <w:t xml:space="preserve">one (1) year from the receipt of issuance of notice of acceptance. This paragraph does not apply to 14 CCR § 1038 (c)(6). </w:t>
      </w:r>
    </w:p>
    <w:p w14:paraId="3FA68CA4" w14:textId="392B6A6C"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notice of exemption conforms with all city or county regulatory requirements.</w:t>
      </w:r>
    </w:p>
    <w:p w14:paraId="4496EFF1" w14:textId="77777777" w:rsidR="00C55E60" w:rsidRPr="00A35B1B" w:rsidRDefault="006D0085" w:rsidP="00C55E60">
      <w:pPr>
        <w:spacing w:line="508" w:lineRule="exact"/>
        <w:ind w:left="720"/>
        <w:rPr>
          <w:rFonts w:ascii="Arial" w:hAnsi="Arial" w:cs="Arial"/>
          <w:sz w:val="24"/>
          <w:szCs w:val="24"/>
        </w:rPr>
      </w:pPr>
      <w:r w:rsidRPr="00A35B1B">
        <w:rPr>
          <w:rFonts w:ascii="Arial" w:hAnsi="Arial" w:cs="Arial"/>
          <w:sz w:val="24"/>
          <w:szCs w:val="24"/>
        </w:rPr>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provided the following conditions are met:</w:t>
      </w:r>
    </w:p>
    <w:p w14:paraId="308AC413"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w:t>
      </w:r>
    </w:p>
    <w:p w14:paraId="47735FAD"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w:t>
      </w:r>
      <w:r w:rsidRPr="00A35B1B">
        <w:rPr>
          <w:rFonts w:ascii="Arial" w:hAnsi="Arial" w:cs="Arial"/>
          <w:sz w:val="24"/>
          <w:szCs w:val="24"/>
        </w:rPr>
        <w:lastRenderedPageBreak/>
        <w:t>Treatment of surface fuels by burning shall be exempt from the one-year time limitations on Timber Operations described under 14 CCR § 1038.1.</w:t>
      </w:r>
    </w:p>
    <w:p w14:paraId="0FD659EC" w14:textId="527AF75B"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line="508" w:lineRule="exact"/>
        <w:ind w:left="180"/>
        <w:rPr>
          <w:rFonts w:ascii="Arial" w:hAnsi="Arial" w:cs="Arial"/>
          <w:bCs/>
          <w:sz w:val="24"/>
          <w:szCs w:val="24"/>
        </w:rPr>
      </w:pPr>
      <w:r w:rsidRPr="00A35B1B">
        <w:rPr>
          <w:rFonts w:ascii="Arial" w:hAnsi="Arial" w:cs="Arial"/>
          <w:bCs/>
          <w:sz w:val="24"/>
          <w:szCs w:val="24"/>
        </w:rPr>
        <w:lastRenderedPageBreak/>
        <w:t xml:space="preserve">(e) The cutting or removal of trees to restore and conserve California black (Quercus </w:t>
      </w:r>
      <w:proofErr w:type="spellStart"/>
      <w:r w:rsidRPr="00A35B1B">
        <w:rPr>
          <w:rFonts w:ascii="Arial" w:hAnsi="Arial" w:cs="Arial"/>
          <w:bCs/>
          <w:sz w:val="24"/>
          <w:szCs w:val="24"/>
        </w:rPr>
        <w:t>kelloggii</w:t>
      </w:r>
      <w:proofErr w:type="spellEnd"/>
      <w:r w:rsidRPr="00A35B1B">
        <w:rPr>
          <w:rFonts w:ascii="Arial" w:hAnsi="Arial" w:cs="Arial"/>
          <w:bCs/>
          <w:sz w:val="24"/>
          <w:szCs w:val="24"/>
        </w:rPr>
        <w:t xml:space="preserve">) or Oregon white (Quercus </w:t>
      </w:r>
      <w:proofErr w:type="spellStart"/>
      <w:r w:rsidRPr="00A35B1B">
        <w:rPr>
          <w:rFonts w:ascii="Arial" w:hAnsi="Arial" w:cs="Arial"/>
          <w:bCs/>
          <w:sz w:val="24"/>
          <w:szCs w:val="24"/>
        </w:rPr>
        <w:t>garryana</w:t>
      </w:r>
      <w:proofErr w:type="spellEnd"/>
      <w:r w:rsidRPr="00A35B1B">
        <w:rPr>
          <w:rFonts w:ascii="Arial" w:hAnsi="Arial" w:cs="Arial"/>
          <w:bCs/>
          <w:sz w:val="24"/>
          <w:szCs w:val="24"/>
        </w:rPr>
        <w:t>)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214166F" w14:textId="77777777" w:rsidR="0046379E" w:rsidRDefault="0046379E" w:rsidP="0046379E">
      <w:pPr>
        <w:spacing w:line="508" w:lineRule="exact"/>
        <w:ind w:left="540"/>
        <w:rPr>
          <w:rFonts w:ascii="Arial" w:hAnsi="Arial" w:cs="Arial"/>
          <w:sz w:val="24"/>
          <w:szCs w:val="24"/>
        </w:rPr>
      </w:pPr>
      <w:r>
        <w:rPr>
          <w:rFonts w:ascii="Arial" w:hAnsi="Arial" w:cs="Arial"/>
          <w:sz w:val="24"/>
          <w:szCs w:val="24"/>
        </w:rPr>
        <w:t>(</w:t>
      </w:r>
      <w:r w:rsidR="00A35B1B" w:rsidRPr="00A35B1B">
        <w:rPr>
          <w:rFonts w:ascii="Arial" w:hAnsi="Arial" w:cs="Arial"/>
          <w:sz w:val="24"/>
          <w:szCs w:val="24"/>
        </w:rPr>
        <w:t xml:space="preserve">4) The post-harvest stand shall meet, at a minimum, the following criteria: </w:t>
      </w:r>
    </w:p>
    <w:p w14:paraId="4C582275" w14:textId="3F7B23AA" w:rsidR="00A35B1B" w:rsidRPr="00A35B1B" w:rsidRDefault="00A35B1B" w:rsidP="0046379E">
      <w:pPr>
        <w:spacing w:line="508" w:lineRule="exact"/>
        <w:ind w:left="108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46379E">
      <w:pPr>
        <w:spacing w:line="480" w:lineRule="auto"/>
        <w:ind w:left="1080"/>
        <w:rPr>
          <w:rFonts w:ascii="Arial" w:hAnsi="Arial" w:cs="Arial"/>
          <w:sz w:val="24"/>
          <w:szCs w:val="24"/>
        </w:rPr>
      </w:pPr>
      <w:r w:rsidRPr="00A35B1B">
        <w:rPr>
          <w:rFonts w:ascii="Arial" w:hAnsi="Arial" w:cs="Arial"/>
          <w:sz w:val="24"/>
          <w:szCs w:val="24"/>
        </w:rPr>
        <w:lastRenderedPageBreak/>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w:t>
      </w:r>
      <w:proofErr w:type="spellStart"/>
      <w:r w:rsidRPr="00A35B1B">
        <w:rPr>
          <w:rFonts w:ascii="Arial" w:hAnsi="Arial" w:cs="Arial"/>
        </w:rPr>
        <w:t>dbh</w:t>
      </w:r>
      <w:proofErr w:type="spellEnd"/>
      <w:r w:rsidRPr="00A35B1B">
        <w:rPr>
          <w:rFonts w:ascii="Arial" w:hAnsi="Arial" w:cs="Arial"/>
        </w:rPr>
        <w:t xml:space="preserve">.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lastRenderedPageBreak/>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w:t>
      </w:r>
      <w:proofErr w:type="spellStart"/>
      <w:r w:rsidRPr="00A35B1B">
        <w:rPr>
          <w:rFonts w:ascii="Arial" w:hAnsi="Arial" w:cs="Arial"/>
          <w:sz w:val="24"/>
          <w:szCs w:val="24"/>
        </w:rPr>
        <w:t>Unevenaged</w:t>
      </w:r>
      <w:proofErr w:type="spellEnd"/>
      <w:r w:rsidRPr="00A35B1B">
        <w:rPr>
          <w:rFonts w:ascii="Arial" w:hAnsi="Arial" w:cs="Arial"/>
          <w:sz w:val="24"/>
          <w:szCs w:val="24"/>
        </w:rPr>
        <w:t xml:space="preserve">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(3)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as a result of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lastRenderedPageBreak/>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lastRenderedPageBreak/>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0AE1A00C" w14:textId="77777777" w:rsidR="0001253F" w:rsidRDefault="0001253F" w:rsidP="00BE6E66">
      <w:pPr>
        <w:kinsoku w:val="0"/>
        <w:overflowPunct w:val="0"/>
        <w:autoSpaceDE w:val="0"/>
        <w:autoSpaceDN w:val="0"/>
        <w:adjustRightInd w:val="0"/>
        <w:spacing w:line="480" w:lineRule="auto"/>
        <w:rPr>
          <w:rFonts w:ascii="Arial" w:hAnsi="Arial" w:cs="Arial"/>
          <w:sz w:val="24"/>
          <w:szCs w:val="24"/>
        </w:rPr>
      </w:pPr>
    </w:p>
    <w:p w14:paraId="76ABDDB4" w14:textId="3B38BE19" w:rsidR="0001253F" w:rsidRPr="0001253F" w:rsidRDefault="006D0CD0">
      <w:pPr>
        <w:kinsoku w:val="0"/>
        <w:overflowPunct w:val="0"/>
        <w:autoSpaceDE w:val="0"/>
        <w:autoSpaceDN w:val="0"/>
        <w:adjustRightInd w:val="0"/>
        <w:spacing w:line="480" w:lineRule="auto"/>
        <w:ind w:left="360"/>
        <w:rPr>
          <w:rFonts w:ascii="Arial" w:hAnsi="Arial" w:cs="Arial"/>
          <w:b/>
          <w:bCs/>
          <w:sz w:val="24"/>
          <w:szCs w:val="24"/>
        </w:rPr>
      </w:pPr>
      <w:r w:rsidRPr="0001253F">
        <w:rPr>
          <w:rFonts w:ascii="Arial" w:hAnsi="Arial" w:cs="Arial"/>
          <w:b/>
          <w:bCs/>
          <w:sz w:val="24"/>
          <w:szCs w:val="24"/>
        </w:rPr>
        <w:t>1038.1 Additional Exceptions or Requirements</w:t>
      </w:r>
    </w:p>
    <w:p w14:paraId="1F99A02C" w14:textId="5304B54B" w:rsidR="006D0CD0" w:rsidRPr="00544C00" w:rsidRDefault="006D0CD0">
      <w:pPr>
        <w:kinsoku w:val="0"/>
        <w:overflowPunct w:val="0"/>
        <w:autoSpaceDE w:val="0"/>
        <w:autoSpaceDN w:val="0"/>
        <w:adjustRightInd w:val="0"/>
        <w:spacing w:line="480" w:lineRule="auto"/>
        <w:ind w:left="360"/>
        <w:rPr>
          <w:rFonts w:ascii="Arial" w:hAnsi="Arial" w:cs="Arial"/>
          <w:sz w:val="24"/>
          <w:szCs w:val="24"/>
        </w:rPr>
      </w:pPr>
      <w:r w:rsidRPr="00544C00">
        <w:rPr>
          <w:rFonts w:ascii="Arial" w:hAnsi="Arial" w:cs="Arial"/>
          <w:sz w:val="24"/>
          <w:szCs w:val="24"/>
        </w:rPr>
        <w:t>Preparation or submittal of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lastRenderedPageBreak/>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All Timber Operations conducted in the Lake Tahoe Region must have a valid Tahoe Basin Tree Removal Permit, as defined by TRPA, or shall be conducted under a valid TRPA Memorandum of Understanding, when such a permit is required by TRPA. (2) The Department shall provide the 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(3) No helicopter yarding shall be allowed.</w:t>
      </w:r>
    </w:p>
    <w:p w14:paraId="21C9F324"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(c) The following additional exceptions or requirements apply to exemptions pursuant to 14 CCR § 1038 as provided in Table 1 below:</w:t>
      </w:r>
    </w:p>
    <w:p w14:paraId="4AAA99E8"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2A492755"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108749F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3C92F68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5B596C71" w14:textId="5007213D" w:rsidR="006D0CD0" w:rsidRPr="00544C00" w:rsidRDefault="006D0CD0" w:rsidP="006D0CD0">
      <w:pPr>
        <w:kinsoku w:val="0"/>
        <w:overflowPunct w:val="0"/>
        <w:autoSpaceDE w:val="0"/>
        <w:autoSpaceDN w:val="0"/>
        <w:adjustRightInd w:val="0"/>
        <w:spacing w:line="480" w:lineRule="auto"/>
        <w:ind w:left="1080"/>
        <w:rPr>
          <w:rFonts w:ascii="Arial" w:hAnsi="Arial" w:cs="Arial"/>
          <w:b/>
          <w:bCs/>
          <w:sz w:val="24"/>
          <w:szCs w:val="24"/>
        </w:rPr>
      </w:pPr>
      <w:r w:rsidRPr="00544C00">
        <w:rPr>
          <w:rFonts w:ascii="Arial" w:hAnsi="Arial" w:cs="Arial"/>
          <w:b/>
          <w:bCs/>
          <w:sz w:val="24"/>
          <w:szCs w:val="24"/>
        </w:rPr>
        <w:lastRenderedPageBreak/>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3C4FC4">
        <w:trPr>
          <w:trHeight w:val="341"/>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1038.1(c)(3)</w:t>
            </w:r>
            <w:r w:rsidR="003431E5">
              <w:rPr>
                <w:rFonts w:ascii="Arial" w:hAnsi="Arial" w:cs="Arial"/>
                <w:sz w:val="24"/>
                <w:szCs w:val="24"/>
              </w:rPr>
              <w:t xml:space="preserve"> </w:t>
            </w:r>
            <w:r w:rsidR="003431E5" w:rsidRPr="00BE6E66">
              <w:rPr>
                <w:rFonts w:ascii="Arial" w:hAnsi="Arial" w:cs="Arial"/>
                <w:color w:val="FF0000"/>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4" w:name="_Hlk176851654"/>
            <w:r w:rsidRPr="00544C00">
              <w:rPr>
                <w:rFonts w:ascii="Arial" w:hAnsi="Arial" w:cs="Arial"/>
                <w:sz w:val="24"/>
                <w:szCs w:val="24"/>
              </w:rPr>
              <w:t>§</w:t>
            </w:r>
            <w:bookmarkEnd w:id="4"/>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 xml:space="preserve">(1) The notice of exemption shall be prepared, signed, and submitted to the Department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214EFCD"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lastRenderedPageBreak/>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(4) Fuel treatments as follows:</w:t>
      </w:r>
    </w:p>
    <w:p w14:paraId="4ADEFA8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(B) Slash shall be treated to achieve a maximum post-harvest depth of eighteen (18) inches above the ground on at least eighty (80) percent of the Harvest Area. All Slash shall be lopped, removed, chipped, piled for burning, or otherwise treated, within </w:t>
      </w:r>
      <w:r w:rsidRPr="00544C00">
        <w:rPr>
          <w:rFonts w:ascii="Arial" w:hAnsi="Arial" w:cs="Arial"/>
          <w:sz w:val="24"/>
          <w:szCs w:val="24"/>
        </w:rPr>
        <w:lastRenderedPageBreak/>
        <w:t>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(12) No timber harvesting within the standard width of a WLPZ, as determined pursuant to 14 CCR § 916.4 [936.4, 956.4] (b), except sanitation-salvage harvesting, as identified within 14 CCR § 913.3 [933.3, 953.3], where immediately after completion of operations, the area shall meet the Stocking Standards of 14 CCR § 912.7 [932.7, 952.7] (b)(2), or, except the removal of dead or Dying trees where consistent with 14 CCR § 916.4 </w:t>
      </w:r>
      <w:r w:rsidRPr="00544C00">
        <w:rPr>
          <w:rFonts w:ascii="Arial" w:hAnsi="Arial" w:cs="Arial"/>
          <w:sz w:val="24"/>
          <w:szCs w:val="24"/>
        </w:rPr>
        <w:lastRenderedPageBreak/>
        <w:t>[936.4,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w:t>
      </w:r>
      <w:r w:rsidRPr="00544C00">
        <w:rPr>
          <w:rFonts w:ascii="Arial" w:hAnsi="Arial" w:cs="Arial"/>
          <w:sz w:val="24"/>
          <w:szCs w:val="24"/>
        </w:rPr>
        <w:lastRenderedPageBreak/>
        <w:t>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 xml:space="preserve">3. The tree is dead or likely to die within one (1) year of the date of the proposed removal, as determined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EBB8F9A" w14:textId="5EBE80A1" w:rsidR="00A729EE"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w:t>
      </w:r>
      <w:r w:rsidRPr="00544C00">
        <w:rPr>
          <w:rFonts w:ascii="Arial" w:hAnsi="Arial" w:cs="Arial"/>
          <w:sz w:val="24"/>
          <w:szCs w:val="24"/>
        </w:rPr>
        <w:lastRenderedPageBreak/>
        <w:t xml:space="preserve">tree is proposed for removal and the removal </w:t>
      </w:r>
      <w:proofErr w:type="gramStart"/>
      <w:r w:rsidRPr="00544C00">
        <w:rPr>
          <w:rFonts w:ascii="Arial" w:hAnsi="Arial" w:cs="Arial"/>
          <w:sz w:val="24"/>
          <w:szCs w:val="24"/>
        </w:rPr>
        <w:t>is in compliance with</w:t>
      </w:r>
      <w:proofErr w:type="gramEnd"/>
      <w:r w:rsidRPr="00544C00">
        <w:rPr>
          <w:rFonts w:ascii="Arial" w:hAnsi="Arial" w:cs="Arial"/>
          <w:sz w:val="24"/>
          <w:szCs w:val="24"/>
        </w:rPr>
        <w:t xml:space="preserve"> the retention standards of that document.</w:t>
      </w:r>
    </w:p>
    <w:p w14:paraId="1BB50477" w14:textId="112DC866" w:rsidR="00FD09FF" w:rsidRPr="00ED77A5" w:rsidRDefault="00FD09FF" w:rsidP="00FD09FF">
      <w:pPr>
        <w:kinsoku w:val="0"/>
        <w:overflowPunct w:val="0"/>
        <w:autoSpaceDE w:val="0"/>
        <w:autoSpaceDN w:val="0"/>
        <w:adjustRightInd w:val="0"/>
        <w:spacing w:line="480" w:lineRule="auto"/>
        <w:ind w:left="1170"/>
        <w:rPr>
          <w:rFonts w:ascii="Arial" w:hAnsi="Arial" w:cs="Arial"/>
          <w:color w:val="4EA72E" w:themeColor="accent6"/>
          <w:sz w:val="24"/>
          <w:szCs w:val="24"/>
        </w:rPr>
      </w:pPr>
      <w:r w:rsidRPr="00F106CF">
        <w:rPr>
          <w:rFonts w:ascii="Arial" w:hAnsi="Arial" w:cs="Arial"/>
          <w:color w:val="FF0000"/>
          <w:sz w:val="24"/>
          <w:szCs w:val="24"/>
          <w:u w:val="single"/>
        </w:rPr>
        <w:t>(</w:t>
      </w:r>
      <w:r w:rsidRPr="00CE7CC5">
        <w:rPr>
          <w:rFonts w:ascii="Arial" w:hAnsi="Arial" w:cs="Arial"/>
          <w:color w:val="FF0000"/>
          <w:sz w:val="24"/>
          <w:szCs w:val="24"/>
          <w:u w:val="single"/>
        </w:rPr>
        <w:t xml:space="preserve">16) </w:t>
      </w:r>
      <w:r w:rsidR="00BE22F8" w:rsidRPr="00CE7CC5">
        <w:rPr>
          <w:rFonts w:ascii="Arial" w:hAnsi="Arial" w:cs="Arial"/>
          <w:color w:val="FF0000"/>
          <w:sz w:val="24"/>
          <w:szCs w:val="24"/>
          <w:u w:val="single"/>
        </w:rPr>
        <w:t>To terminate a notice of exemption, the Timberland owner shall submit a letter to the Director which includes the notice number, a statement requesting termination of the notice</w:t>
      </w:r>
      <w:r w:rsidR="00032E41" w:rsidRPr="00CE7CC5">
        <w:rPr>
          <w:rFonts w:ascii="Arial" w:hAnsi="Arial" w:cs="Arial"/>
          <w:color w:val="FF0000"/>
          <w:sz w:val="24"/>
          <w:szCs w:val="24"/>
          <w:u w:val="single"/>
        </w:rPr>
        <w:t xml:space="preserve"> prior to expiration</w:t>
      </w:r>
      <w:r w:rsidR="00BE22F8" w:rsidRPr="00CE7CC5">
        <w:rPr>
          <w:rFonts w:ascii="Arial" w:hAnsi="Arial" w:cs="Arial"/>
          <w:color w:val="FF0000"/>
          <w:sz w:val="24"/>
          <w:szCs w:val="24"/>
          <w:u w:val="single"/>
        </w:rPr>
        <w:t>, and a signature of the Timberland owner</w:t>
      </w:r>
      <w:r w:rsidR="0046379E" w:rsidRPr="00CE7CC5">
        <w:rPr>
          <w:rFonts w:ascii="Arial" w:hAnsi="Arial" w:cs="Arial"/>
          <w:color w:val="FF0000"/>
          <w:sz w:val="24"/>
          <w:szCs w:val="24"/>
          <w:u w:val="single"/>
        </w:rPr>
        <w:t>.</w:t>
      </w:r>
      <w:r w:rsidR="0003755F" w:rsidRPr="00CE7CC5">
        <w:rPr>
          <w:color w:val="FF0000"/>
        </w:rPr>
        <w:t xml:space="preserve"> </w:t>
      </w:r>
    </w:p>
    <w:p w14:paraId="5FE2EC51" w14:textId="77777777" w:rsidR="00F53F91" w:rsidRDefault="00F53F91" w:rsidP="0003755F">
      <w:pPr>
        <w:kinsoku w:val="0"/>
        <w:overflowPunct w:val="0"/>
        <w:autoSpaceDE w:val="0"/>
        <w:autoSpaceDN w:val="0"/>
        <w:adjustRightInd w:val="0"/>
        <w:spacing w:line="480" w:lineRule="auto"/>
        <w:rPr>
          <w:rFonts w:ascii="Arial" w:hAnsi="Arial" w:cs="Arial"/>
          <w:sz w:val="24"/>
          <w:szCs w:val="24"/>
        </w:rPr>
      </w:pPr>
    </w:p>
    <w:p w14:paraId="32CBE3B4" w14:textId="77777777" w:rsidR="00F53F91" w:rsidRPr="00A80F62" w:rsidRDefault="00F53F91" w:rsidP="00F53F91">
      <w:pPr>
        <w:kinsoku w:val="0"/>
        <w:overflowPunct w:val="0"/>
        <w:autoSpaceDE w:val="0"/>
        <w:autoSpaceDN w:val="0"/>
        <w:adjustRightInd w:val="0"/>
        <w:spacing w:line="480" w:lineRule="auto"/>
        <w:ind w:left="-180"/>
        <w:rPr>
          <w:rFonts w:ascii="Arial" w:hAnsi="Arial" w:cs="Arial"/>
          <w:b/>
          <w:bCs/>
          <w:sz w:val="24"/>
          <w:szCs w:val="24"/>
        </w:rPr>
      </w:pPr>
      <w:commentRangeStart w:id="5"/>
      <w:r w:rsidRPr="00A80F62">
        <w:rPr>
          <w:rFonts w:ascii="Arial" w:hAnsi="Arial" w:cs="Arial"/>
          <w:b/>
          <w:bCs/>
          <w:sz w:val="24"/>
          <w:szCs w:val="24"/>
        </w:rPr>
        <w:t>1038.3 Forest Fire Prevention Exemption</w:t>
      </w:r>
      <w:commentRangeEnd w:id="5"/>
      <w:r w:rsidR="00CE7CC5">
        <w:rPr>
          <w:rStyle w:val="CommentReference"/>
        </w:rPr>
        <w:commentReference w:id="5"/>
      </w:r>
    </w:p>
    <w:p w14:paraId="12E710C3" w14:textId="4B859750"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Persons who are engaged in the cutting or removal of trees, limited to those trees that eliminate the vertical continuity of vegetative fuels and the horizontal continuity</w:t>
      </w:r>
      <w:permStart w:id="438900327" w:edGrp="everyone"/>
      <w:permEnd w:id="438900327"/>
      <w:r w:rsidRPr="00A80F62">
        <w:rPr>
          <w:rFonts w:ascii="Arial" w:hAnsi="Arial" w:cs="Arial"/>
          <w:sz w:val="24"/>
          <w:szCs w:val="24"/>
        </w:rPr>
        <w:t xml:space="preserve"> of tree crowns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w:t>
      </w:r>
      <w:r w:rsidRPr="0070663D">
        <w:rPr>
          <w:rFonts w:ascii="Arial" w:hAnsi="Arial" w:cs="Arial"/>
          <w:sz w:val="24"/>
          <w:szCs w:val="24"/>
        </w:rPr>
        <w:t>from the date of</w:t>
      </w:r>
      <w:r w:rsidRPr="00A80F62">
        <w:rPr>
          <w:rFonts w:ascii="Arial" w:hAnsi="Arial" w:cs="Arial"/>
          <w:sz w:val="24"/>
          <w:szCs w:val="24"/>
        </w:rPr>
        <w:t xml:space="preserve"> receipt by the Director,</w:t>
      </w:r>
      <w:r w:rsidR="0070663D" w:rsidRPr="00DF6A16">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or until </w:t>
      </w:r>
      <w:r w:rsidR="00F15F0F" w:rsidRPr="00BE6E66">
        <w:rPr>
          <w:rFonts w:ascii="Arial" w:hAnsi="Arial" w:cs="Arial"/>
          <w:color w:val="FF0000"/>
          <w:sz w:val="24"/>
          <w:szCs w:val="24"/>
          <w:u w:val="single"/>
        </w:rPr>
        <w:t>the</w:t>
      </w:r>
      <w:r w:rsidR="0070663D" w:rsidRPr="00BE6E66">
        <w:rPr>
          <w:rFonts w:ascii="Arial" w:hAnsi="Arial" w:cs="Arial"/>
          <w:color w:val="FF0000"/>
          <w:sz w:val="24"/>
          <w:szCs w:val="24"/>
          <w:u w:val="single"/>
        </w:rPr>
        <w:t xml:space="preserve"> submitter notifies the director of the termination of operations, whichever occurs sooner</w:t>
      </w:r>
      <w:r w:rsidR="0070663D" w:rsidRPr="00A60562">
        <w:rPr>
          <w:rFonts w:ascii="Arial" w:hAnsi="Arial" w:cs="Arial"/>
          <w:color w:val="0070C0"/>
          <w:sz w:val="24"/>
          <w:szCs w:val="24"/>
        </w:rPr>
        <w:t xml:space="preserve"> </w:t>
      </w:r>
      <w:r w:rsidRPr="00A60562">
        <w:rPr>
          <w:rFonts w:ascii="Arial" w:hAnsi="Arial" w:cs="Arial"/>
          <w:color w:val="0070C0"/>
          <w:sz w:val="24"/>
          <w:szCs w:val="24"/>
        </w:rPr>
        <w:t xml:space="preserve"> </w:t>
      </w:r>
      <w:r w:rsidRPr="00A80F62">
        <w:rPr>
          <w:rFonts w:ascii="Arial" w:hAnsi="Arial" w:cs="Arial"/>
          <w:sz w:val="24"/>
          <w:szCs w:val="24"/>
        </w:rPr>
        <w:t>and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r w:rsidR="0070663D" w:rsidRPr="0070663D">
        <w:rPr>
          <w:rFonts w:ascii="Arial" w:hAnsi="Arial" w:cs="Arial"/>
          <w:color w:val="0F9ED5" w:themeColor="accent4"/>
          <w:sz w:val="24"/>
          <w:szCs w:val="24"/>
          <w:u w:val="single"/>
        </w:rPr>
        <w:t xml:space="preserve"> </w:t>
      </w:r>
      <w:r w:rsidR="0070663D" w:rsidRPr="00BE6E66">
        <w:rPr>
          <w:rFonts w:ascii="Arial" w:hAnsi="Arial" w:cs="Arial"/>
          <w:color w:val="FF0000"/>
          <w:sz w:val="24"/>
          <w:szCs w:val="24"/>
          <w:u w:val="single"/>
        </w:rPr>
        <w:t xml:space="preserve">Exemption </w:t>
      </w:r>
      <w:r w:rsidR="00417D46">
        <w:rPr>
          <w:rFonts w:ascii="Arial" w:hAnsi="Arial" w:cs="Arial"/>
          <w:color w:val="FF0000"/>
          <w:sz w:val="24"/>
          <w:szCs w:val="24"/>
          <w:u w:val="single"/>
        </w:rPr>
        <w:t>Notices</w:t>
      </w:r>
      <w:r w:rsidR="00F106CF">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authorized by this section shall not have a harvest area that </w:t>
      </w:r>
      <w:r w:rsidR="0070663D" w:rsidRPr="00BE6E66">
        <w:rPr>
          <w:rFonts w:ascii="Arial" w:hAnsi="Arial" w:cs="Arial"/>
          <w:color w:val="FF0000"/>
          <w:sz w:val="24"/>
          <w:szCs w:val="24"/>
          <w:u w:val="single"/>
        </w:rPr>
        <w:lastRenderedPageBreak/>
        <w:t>geographically overlaps with the harvest area of another non-expired</w:t>
      </w:r>
      <w:r w:rsidR="00F106CF">
        <w:rPr>
          <w:rFonts w:ascii="Arial" w:hAnsi="Arial" w:cs="Arial"/>
          <w:color w:val="FF0000"/>
          <w:sz w:val="24"/>
          <w:szCs w:val="24"/>
          <w:u w:val="single"/>
        </w:rPr>
        <w:t xml:space="preserve"> </w:t>
      </w:r>
      <w:r w:rsidR="00417D46">
        <w:rPr>
          <w:rFonts w:ascii="Arial" w:hAnsi="Arial" w:cs="Arial"/>
          <w:color w:val="FF0000"/>
          <w:sz w:val="24"/>
          <w:szCs w:val="24"/>
          <w:u w:val="single"/>
        </w:rPr>
        <w:t>Notice or Plan</w:t>
      </w:r>
      <w:r w:rsidR="0070663D" w:rsidRPr="00BE6E66">
        <w:rPr>
          <w:rFonts w:ascii="Arial" w:hAnsi="Arial" w:cs="Arial"/>
          <w:color w:val="FF0000"/>
          <w:sz w:val="24"/>
          <w:szCs w:val="24"/>
          <w:u w:val="single"/>
        </w:rPr>
        <w:t xml:space="preserve"> </w:t>
      </w:r>
      <w:proofErr w:type="gramStart"/>
      <w:r w:rsidR="0070663D" w:rsidRPr="00BE6E66">
        <w:rPr>
          <w:rFonts w:ascii="Arial" w:hAnsi="Arial" w:cs="Arial"/>
          <w:color w:val="FF0000"/>
          <w:sz w:val="24"/>
          <w:szCs w:val="24"/>
          <w:u w:val="single"/>
        </w:rPr>
        <w:t>with the exception of</w:t>
      </w:r>
      <w:proofErr w:type="gramEnd"/>
      <w:r w:rsidR="0070663D" w:rsidRPr="00BE6E66">
        <w:rPr>
          <w:rFonts w:ascii="Arial" w:hAnsi="Arial" w:cs="Arial"/>
          <w:color w:val="FF0000"/>
          <w:sz w:val="24"/>
          <w:szCs w:val="24"/>
          <w:u w:val="single"/>
        </w:rPr>
        <w:t xml:space="preserve"> an approved NTMP or WFMP or </w:t>
      </w:r>
      <w:proofErr w:type="spellStart"/>
      <w:r w:rsidR="0046379E" w:rsidRPr="00EB322A">
        <w:rPr>
          <w:rFonts w:ascii="Arial" w:hAnsi="Arial" w:cs="Arial"/>
          <w:color w:val="FF0000"/>
          <w:sz w:val="24"/>
          <w:szCs w:val="24"/>
          <w:u w:val="single"/>
        </w:rPr>
        <w:t>or</w:t>
      </w:r>
      <w:proofErr w:type="spellEnd"/>
      <w:r w:rsidR="0046379E" w:rsidRPr="00EB322A">
        <w:rPr>
          <w:rFonts w:ascii="Arial" w:hAnsi="Arial" w:cs="Arial"/>
          <w:color w:val="FF0000"/>
          <w:sz w:val="24"/>
          <w:szCs w:val="24"/>
          <w:u w:val="single"/>
        </w:rPr>
        <w:t xml:space="preserve"> as per 1038(b)(1).</w:t>
      </w:r>
      <w:r w:rsidR="0070663D" w:rsidRPr="00BE6E66">
        <w:rPr>
          <w:rFonts w:ascii="Arial" w:hAnsi="Arial" w:cs="Arial"/>
          <w:color w:val="FF0000"/>
          <w:sz w:val="24"/>
          <w:szCs w:val="24"/>
          <w:u w:val="single"/>
        </w:rPr>
        <w:t xml:space="preserve"> </w:t>
      </w:r>
    </w:p>
    <w:p w14:paraId="4CC5789C" w14:textId="72A83161"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(a) Comply with the requirements of Title 14 CCR §§ 1038.1 (c)(5), (6), (7), </w:t>
      </w:r>
      <w:r w:rsidRPr="00B84A49">
        <w:rPr>
          <w:rFonts w:ascii="Arial" w:hAnsi="Arial" w:cs="Arial"/>
          <w:strike/>
          <w:sz w:val="24"/>
          <w:szCs w:val="24"/>
        </w:rPr>
        <w:t>and</w:t>
      </w:r>
      <w:r w:rsidRPr="00A80F62">
        <w:rPr>
          <w:rFonts w:ascii="Arial" w:hAnsi="Arial" w:cs="Arial"/>
          <w:sz w:val="24"/>
          <w:szCs w:val="24"/>
        </w:rPr>
        <w:t xml:space="preserve"> (9) through (12)</w:t>
      </w:r>
      <w:r w:rsidR="00D83212" w:rsidRPr="00DF6A16">
        <w:rPr>
          <w:rFonts w:ascii="Arial" w:hAnsi="Arial" w:cs="Arial"/>
          <w:color w:val="0070C0"/>
          <w:sz w:val="24"/>
          <w:szCs w:val="24"/>
        </w:rPr>
        <w:t xml:space="preserve"> </w:t>
      </w:r>
      <w:r w:rsidRPr="00A80F62">
        <w:rPr>
          <w:rFonts w:ascii="Arial" w:hAnsi="Arial" w:cs="Arial"/>
          <w:sz w:val="24"/>
          <w:szCs w:val="24"/>
        </w:rPr>
        <w:t>inclusive</w:t>
      </w:r>
      <w:r w:rsidR="00D83212" w:rsidRPr="00DF6A16">
        <w:rPr>
          <w:rFonts w:ascii="Arial" w:hAnsi="Arial" w:cs="Arial"/>
          <w:color w:val="FF0000"/>
          <w:sz w:val="24"/>
          <w:szCs w:val="24"/>
          <w:u w:val="single"/>
        </w:rPr>
        <w:t xml:space="preserve"> and (16)</w:t>
      </w:r>
      <w:r w:rsidRPr="00DF6A16">
        <w:rPr>
          <w:rFonts w:ascii="Arial" w:hAnsi="Arial" w:cs="Arial"/>
          <w:color w:val="FF0000"/>
          <w:sz w:val="24"/>
          <w:szCs w:val="24"/>
        </w:rPr>
        <w:t>.</w:t>
      </w:r>
    </w:p>
    <w:p w14:paraId="5F2E4DE2"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(b) This exemption shall only be used on Timberlands that are within the most recent version of the Department’s Fire Hazard Severity Zone Map, which can be found on the Department’s website: https://www.fire.ca.gov/, that shows the exemption will occur in areas determined to be moderate, high and very high fire threat areas.</w:t>
      </w:r>
    </w:p>
    <w:p w14:paraId="644D84CE"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(c) The Harvest Area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acres.</w:t>
      </w:r>
    </w:p>
    <w:p w14:paraId="74EBD277" w14:textId="77777777" w:rsidR="00F53F91" w:rsidRPr="00A80F62" w:rsidRDefault="00F53F91" w:rsidP="00F53F91">
      <w:pPr>
        <w:kinsoku w:val="0"/>
        <w:overflowPunct w:val="0"/>
        <w:autoSpaceDE w:val="0"/>
        <w:autoSpaceDN w:val="0"/>
        <w:adjustRightInd w:val="0"/>
        <w:spacing w:line="480" w:lineRule="auto"/>
        <w:ind w:left="360" w:hanging="360"/>
        <w:rPr>
          <w:rFonts w:ascii="Arial" w:hAnsi="Arial" w:cs="Arial"/>
          <w:sz w:val="24"/>
          <w:szCs w:val="24"/>
        </w:rPr>
      </w:pPr>
      <w:r w:rsidRPr="00A80F62">
        <w:rPr>
          <w:rFonts w:ascii="Arial" w:hAnsi="Arial" w:cs="Arial"/>
          <w:sz w:val="24"/>
          <w:szCs w:val="24"/>
        </w:rPr>
        <w:t>(d) (1) Slash and Woody Debris shall be treated to achieve a maximum post-harvest depth of eighteen (18) inches above the ground except within one-hundred-fifty (150) feet from any point of an approved and legally permitted structure that complies with the California Standards Building Code.</w:t>
      </w:r>
    </w:p>
    <w:p w14:paraId="4630758D"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All surface fuels within one-hundred-fifty (150) feet of an Approved and Legally Permitted Structure, which could promote the spread of wildfire, shall be chipped, burned, or removed within forty-five (45) days from the start of Timber Operations.</w:t>
      </w:r>
    </w:p>
    <w:p w14:paraId="0A21828F"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1B09B438"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The requirements of this subsection shall not supersede the requirements of PRC § 4291.</w:t>
      </w:r>
    </w:p>
    <w:p w14:paraId="5AB15AFC" w14:textId="77777777" w:rsidR="00F53F91" w:rsidRPr="00A80F62" w:rsidRDefault="00F53F91" w:rsidP="00F53F91">
      <w:pPr>
        <w:kinsoku w:val="0"/>
        <w:overflowPunct w:val="0"/>
        <w:autoSpaceDE w:val="0"/>
        <w:autoSpaceDN w:val="0"/>
        <w:adjustRightInd w:val="0"/>
        <w:spacing w:line="480" w:lineRule="auto"/>
        <w:ind w:left="-90"/>
        <w:rPr>
          <w:rFonts w:ascii="Arial" w:hAnsi="Arial" w:cs="Arial"/>
          <w:sz w:val="24"/>
          <w:szCs w:val="24"/>
        </w:rPr>
      </w:pPr>
      <w:r w:rsidRPr="00A80F62">
        <w:rPr>
          <w:rFonts w:ascii="Arial" w:hAnsi="Arial" w:cs="Arial"/>
          <w:sz w:val="24"/>
          <w:szCs w:val="24"/>
        </w:rPr>
        <w:lastRenderedPageBreak/>
        <w:t xml:space="preserve">(e)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A80F62">
        <w:rPr>
          <w:rFonts w:ascii="Arial" w:hAnsi="Arial" w:cs="Arial"/>
          <w:sz w:val="24"/>
          <w:szCs w:val="24"/>
        </w:rPr>
        <w:t>all of</w:t>
      </w:r>
      <w:proofErr w:type="gramEnd"/>
      <w:r w:rsidRPr="00A80F62">
        <w:rPr>
          <w:rFonts w:ascii="Arial" w:hAnsi="Arial" w:cs="Arial"/>
          <w:sz w:val="24"/>
          <w:szCs w:val="24"/>
        </w:rPr>
        <w:t xml:space="preserve"> the following conditions are met:</w:t>
      </w:r>
    </w:p>
    <w:p w14:paraId="0C9507E9"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 xml:space="preserve">(1) Temporary Roads or Landings shall not be located on Unstable Areas. </w:t>
      </w:r>
    </w:p>
    <w:p w14:paraId="4E699FC3"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Temporary Roads shall be single lane in width.</w:t>
      </w:r>
    </w:p>
    <w:p w14:paraId="426CEFE1"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Temporary Roads shall not be located across a Connected Headwall Swale.</w:t>
      </w:r>
    </w:p>
    <w:p w14:paraId="40C9B255"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Construction or re-construction of Temporary Roads, Landings or Watercourse crossings shall not occur during the Winter Period.</w:t>
      </w:r>
    </w:p>
    <w:p w14:paraId="58FF9CAD"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3D2AAAFC"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(B) Timber Operations during the Winter Period shall comply with the applicable Rule sections under 14 CCR § 923 [943, 963] et seq.</w:t>
      </w:r>
    </w:p>
    <w:p w14:paraId="4EE759A2"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(C) Use of Temporary Roads shall comply with the operational provisions of 14 CCR § 923 [943, 963] et seq.,</w:t>
      </w:r>
    </w:p>
    <w:p w14:paraId="7E8CC5CD" w14:textId="1011D276"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(D) No Logging Road or Landings construction, or reconstruction, activities shall occur within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feet of Class I and Class II Watercourses, or within fifty (50) feet of a Class III Watercourse</w:t>
      </w:r>
      <w:r w:rsidR="007D0274" w:rsidRPr="00A80F62">
        <w:rPr>
          <w:rFonts w:ascii="Arial" w:hAnsi="Arial" w:cs="Arial"/>
          <w:sz w:val="24"/>
          <w:szCs w:val="24"/>
        </w:rPr>
        <w:t>.</w:t>
      </w:r>
    </w:p>
    <w:p w14:paraId="01E62D03" w14:textId="77777777" w:rsidR="007D0274" w:rsidRPr="00A80F62" w:rsidRDefault="007D0274" w:rsidP="007D0274">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 xml:space="preserve">(5) </w:t>
      </w:r>
      <w:proofErr w:type="gramStart"/>
      <w:r w:rsidRPr="00A80F62">
        <w:rPr>
          <w:rFonts w:ascii="Arial" w:hAnsi="Arial" w:cs="Arial"/>
          <w:sz w:val="24"/>
          <w:szCs w:val="24"/>
        </w:rPr>
        <w:t>Temporary Road construction or reconstruction,</w:t>
      </w:r>
      <w:proofErr w:type="gramEnd"/>
      <w:r w:rsidRPr="00A80F62">
        <w:rPr>
          <w:rFonts w:ascii="Arial" w:hAnsi="Arial" w:cs="Arial"/>
          <w:sz w:val="24"/>
          <w:szCs w:val="24"/>
        </w:rPr>
        <w:t xml:space="preserve"> shall be limited to no more than two (2) miles of road per ownership within a single Planning Watershed (CALWATER 2.2) per any five (5) year period.</w:t>
      </w:r>
    </w:p>
    <w:p w14:paraId="48332033"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(A) For exemptions that are less than forty (40) acres, all Temporary Roads constructed and/or reconstructed shall not exceed a cumulative length of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feet. (B) For exemptions between forty (40) and eighty (80) acres, this standard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to six-hundred (600) feet, as determined on a pro rata basis by total acreage affected by the exemption.</w:t>
      </w:r>
    </w:p>
    <w:p w14:paraId="7A284571"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(C) For exemptions over eighty (80) acres, this standard shall not exceed </w:t>
      </w:r>
      <w:proofErr w:type="gramStart"/>
      <w:r w:rsidRPr="00A80F62">
        <w:rPr>
          <w:rFonts w:ascii="Arial" w:hAnsi="Arial" w:cs="Arial"/>
          <w:sz w:val="24"/>
          <w:szCs w:val="24"/>
        </w:rPr>
        <w:t>six-hundred</w:t>
      </w:r>
      <w:proofErr w:type="gramEnd"/>
      <w:r w:rsidRPr="00A80F62">
        <w:rPr>
          <w:rFonts w:ascii="Arial" w:hAnsi="Arial" w:cs="Arial"/>
          <w:sz w:val="24"/>
          <w:szCs w:val="24"/>
        </w:rPr>
        <w:t xml:space="preserve"> (600) feet.</w:t>
      </w:r>
    </w:p>
    <w:p w14:paraId="2E9F7817"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F661466"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1C196216" w14:textId="2713D884"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w:t>
      </w:r>
      <w:r w:rsidRPr="00A80F62">
        <w:rPr>
          <w:rFonts w:ascii="Arial" w:hAnsi="Arial" w:cs="Arial"/>
          <w:sz w:val="24"/>
          <w:szCs w:val="24"/>
        </w:rPr>
        <w:lastRenderedPageBreak/>
        <w:t>removed for the purposes of Temporary Road construction or reconstruction when no other feasible option exists for Temporary Road construction activities.</w:t>
      </w:r>
    </w:p>
    <w:p w14:paraId="254DD788"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6C3A9823"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(g) The QMD of trees greater than eight (8) inches </w:t>
      </w:r>
      <w:proofErr w:type="spellStart"/>
      <w:r w:rsidRPr="00A80F62">
        <w:rPr>
          <w:rFonts w:ascii="Arial" w:hAnsi="Arial" w:cs="Arial"/>
          <w:sz w:val="24"/>
          <w:szCs w:val="24"/>
        </w:rPr>
        <w:t>dbh</w:t>
      </w:r>
      <w:proofErr w:type="spellEnd"/>
      <w:r w:rsidRPr="00A80F62">
        <w:rPr>
          <w:rFonts w:ascii="Arial" w:hAnsi="Arial" w:cs="Arial"/>
          <w:sz w:val="24"/>
          <w:szCs w:val="24"/>
        </w:rPr>
        <w:t xml:space="preserve"> in the Harvest Area shall be increased in the postharvest stand. The submitted notice of exemption shall report the expected post-harvest increase in QMD.</w:t>
      </w:r>
    </w:p>
    <w:p w14:paraId="12A1A89E"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(h) Except within constructed or reconstructed Temporary Road prisms, only trees less than thirty (30) inches in stump diameter, measured eight (8) inches above ground level, may be removed.</w:t>
      </w:r>
    </w:p>
    <w:p w14:paraId="480353C2"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w:t>
      </w:r>
      <w:proofErr w:type="spellStart"/>
      <w:r w:rsidRPr="00A80F62">
        <w:rPr>
          <w:rFonts w:ascii="Arial" w:hAnsi="Arial" w:cs="Arial"/>
          <w:sz w:val="24"/>
          <w:szCs w:val="24"/>
        </w:rPr>
        <w:t>i</w:t>
      </w:r>
      <w:proofErr w:type="spellEnd"/>
      <w:r w:rsidRPr="00A80F62">
        <w:rPr>
          <w:rFonts w:ascii="Arial" w:hAnsi="Arial" w:cs="Arial"/>
          <w:sz w:val="24"/>
          <w:szCs w:val="24"/>
        </w:rPr>
        <w:t>)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53B9BCB4" w14:textId="1817303C"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(j) If the preharvest crown canopy of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is occupied by trees less than fourteen (14) inches in </w:t>
      </w:r>
      <w:proofErr w:type="spellStart"/>
      <w:r w:rsidRPr="00A80F62">
        <w:rPr>
          <w:rFonts w:ascii="Arial" w:hAnsi="Arial" w:cs="Arial"/>
          <w:sz w:val="24"/>
          <w:szCs w:val="24"/>
        </w:rPr>
        <w:t>dbh</w:t>
      </w:r>
      <w:proofErr w:type="spellEnd"/>
      <w:r w:rsidRPr="00A80F62">
        <w:rPr>
          <w:rFonts w:ascii="Arial" w:hAnsi="Arial" w:cs="Arial"/>
          <w:sz w:val="24"/>
          <w:szCs w:val="24"/>
        </w:rPr>
        <w:t xml:space="preserve">, a minimum of one-hundred (100) trees over four inches in Diameter at breast height shall be retained per acre for Site I, II, and III lands, </w:t>
      </w:r>
      <w:r w:rsidRPr="00A80F62">
        <w:rPr>
          <w:rFonts w:ascii="Arial" w:hAnsi="Arial" w:cs="Arial"/>
          <w:sz w:val="24"/>
          <w:szCs w:val="24"/>
        </w:rPr>
        <w:lastRenderedPageBreak/>
        <w:t>and a minimum of seventy-five (75) trees over four inches in Diameter at breast height shall be retained per acre for Site IV and V lands</w:t>
      </w:r>
      <w:r w:rsidR="00426098" w:rsidRPr="00A80F62">
        <w:rPr>
          <w:rFonts w:ascii="Arial" w:hAnsi="Arial" w:cs="Arial"/>
          <w:sz w:val="24"/>
          <w:szCs w:val="24"/>
        </w:rPr>
        <w:t>.</w:t>
      </w:r>
    </w:p>
    <w:p w14:paraId="6280514D" w14:textId="77777777" w:rsidR="00426098" w:rsidRPr="00A80F62" w:rsidRDefault="00426098"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(k) The following canopy, retention, and spacing standards shall be achieved on at least eighty (80) percent of the Harvest Area:</w:t>
      </w:r>
    </w:p>
    <w:p w14:paraId="618A1A7B"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Minimum post treatment canopy closure shall comply with the standards of 14 CCR § 1052.4 (d)(3)(A)</w:t>
      </w:r>
    </w:p>
    <w:p w14:paraId="29A41174"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Post treatment stand shall contain no more than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trees per acre over three (3) inches in </w:t>
      </w:r>
      <w:proofErr w:type="spellStart"/>
      <w:r w:rsidRPr="00A80F62">
        <w:rPr>
          <w:rFonts w:ascii="Arial" w:hAnsi="Arial" w:cs="Arial"/>
          <w:sz w:val="24"/>
          <w:szCs w:val="24"/>
        </w:rPr>
        <w:t>dbh</w:t>
      </w:r>
      <w:proofErr w:type="spellEnd"/>
      <w:r w:rsidRPr="00A80F62">
        <w:rPr>
          <w:rFonts w:ascii="Arial" w:hAnsi="Arial" w:cs="Arial"/>
          <w:sz w:val="24"/>
          <w:szCs w:val="24"/>
        </w:rPr>
        <w:t>.</w:t>
      </w:r>
    </w:p>
    <w:p w14:paraId="69099D09" w14:textId="622D6DA0"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Vertical spacing shall be achieved by treating dead fuels, excluding dead branches on the trees retained for stocking, to a minimum clearance distance of eight (8) feet measured from the base of the live</w:t>
      </w:r>
      <w:r w:rsidR="00164FF1" w:rsidRPr="00A80F62">
        <w:rPr>
          <w:rFonts w:ascii="Arial" w:hAnsi="Arial" w:cs="Arial"/>
          <w:sz w:val="24"/>
          <w:szCs w:val="24"/>
        </w:rPr>
        <w:t xml:space="preserve"> crown of the post-harvest Dominants and </w:t>
      </w:r>
      <w:proofErr w:type="spellStart"/>
      <w:r w:rsidR="00164FF1" w:rsidRPr="00A80F62">
        <w:rPr>
          <w:rFonts w:ascii="Arial" w:hAnsi="Arial" w:cs="Arial"/>
          <w:sz w:val="24"/>
          <w:szCs w:val="24"/>
        </w:rPr>
        <w:t>Codominants</w:t>
      </w:r>
      <w:proofErr w:type="spellEnd"/>
      <w:r w:rsidR="00164FF1" w:rsidRPr="00A80F62">
        <w:rPr>
          <w:rFonts w:ascii="Arial" w:hAnsi="Arial" w:cs="Arial"/>
          <w:sz w:val="24"/>
          <w:szCs w:val="24"/>
        </w:rPr>
        <w:t xml:space="preserve"> to the top of the dead surface or ladder fuels, whichever is taller.</w:t>
      </w:r>
    </w:p>
    <w:p w14:paraId="77C7BD59"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(l) Helicopter Yarding shall be prohibited.</w:t>
      </w:r>
    </w:p>
    <w:p w14:paraId="2D2CDC48"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(m) The RPF shall comply with 14 CCR § 1035.2, relating to interaction between the LTO and the RPF.</w:t>
      </w:r>
    </w:p>
    <w:p w14:paraId="1A5F1BDA"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7574FAF3"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(o) Upon submission of the notice of exemption, a Confidential Archaeological Letter pursuant to 14 CCR § 929.1 [949.1; 969.1] must be provided to the Director and the RPF </w:t>
      </w:r>
      <w:r w:rsidRPr="00A80F62">
        <w:rPr>
          <w:rFonts w:ascii="Arial" w:hAnsi="Arial" w:cs="Arial"/>
          <w:sz w:val="24"/>
          <w:szCs w:val="24"/>
        </w:rPr>
        <w:lastRenderedPageBreak/>
        <w:t>shall send a copy of the notice of exemption to Native Americans as defined in 14 CCR § 895.1.</w:t>
      </w:r>
    </w:p>
    <w:p w14:paraId="11679F52"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4F70628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4B146EA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33180B40" w14:textId="7D309015" w:rsidR="00426098"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(s) The notice of exemption shall be prepared by, signed, and submitted by an RPF. The RPF shall be retained to oversee all construction or reconstruction of Roads and/or </w:t>
      </w:r>
      <w:proofErr w:type="gramStart"/>
      <w:r w:rsidRPr="00A80F62">
        <w:rPr>
          <w:rFonts w:ascii="Arial" w:hAnsi="Arial" w:cs="Arial"/>
          <w:sz w:val="24"/>
          <w:szCs w:val="24"/>
        </w:rPr>
        <w:t>Landings, and</w:t>
      </w:r>
      <w:proofErr w:type="gramEnd"/>
      <w:r w:rsidRPr="00A80F62">
        <w:rPr>
          <w:rFonts w:ascii="Arial" w:hAnsi="Arial" w:cs="Arial"/>
          <w:sz w:val="24"/>
          <w:szCs w:val="24"/>
        </w:rPr>
        <w:t xml:space="preserve"> provide for necessary mitigation to avoid potential impacts.</w:t>
      </w:r>
    </w:p>
    <w:p w14:paraId="04177553" w14:textId="77777777" w:rsidR="00B4153A" w:rsidRPr="00A80F62" w:rsidRDefault="00B4153A"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7EF223A4"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Name(s), address, and telephone number(s) of the Timber Owner(s), timberland owner(s), and Timber Operator.</w:t>
      </w:r>
    </w:p>
    <w:p w14:paraId="12B6EB60"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(2) Name, address, and telephone number and license number of the RPF preparing and submitting the notice of exemption.</w:t>
      </w:r>
    </w:p>
    <w:p w14:paraId="439F4935"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Legal description of the location of the Timber Operations.</w:t>
      </w:r>
    </w:p>
    <w:p w14:paraId="45B4E762"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(4) The tentative date of commencement of Timber Operations.</w:t>
      </w:r>
    </w:p>
    <w:p w14:paraId="1E5DC199"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(5) A signature of the landowner certifying that they are the landowner and have read and understand the information contained within the notice of exemption.</w:t>
      </w:r>
    </w:p>
    <w:p w14:paraId="3E690B1E"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(6) A description of preharvest stand structure; and</w:t>
      </w:r>
    </w:p>
    <w:p w14:paraId="611DEC17" w14:textId="25F8372A" w:rsidR="00377843"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(7) An estimate of </w:t>
      </w:r>
      <w:proofErr w:type="gramStart"/>
      <w:r w:rsidRPr="00A80F62">
        <w:rPr>
          <w:rFonts w:ascii="Arial" w:hAnsi="Arial" w:cs="Arial"/>
          <w:sz w:val="24"/>
          <w:szCs w:val="24"/>
        </w:rPr>
        <w:t>pre</w:t>
      </w:r>
      <w:proofErr w:type="gramEnd"/>
      <w:r w:rsidRPr="00A80F62">
        <w:rPr>
          <w:rFonts w:ascii="Arial" w:hAnsi="Arial" w:cs="Arial"/>
          <w:sz w:val="24"/>
          <w:szCs w:val="24"/>
        </w:rPr>
        <w:t xml:space="preserve"> and post-harvest QMD and certification by the RPF that, in their professional judgment, post-harvest slash treatment and stand conditions will lead to more moderate fire behavior.</w:t>
      </w:r>
    </w:p>
    <w:p w14:paraId="1FF9C42D" w14:textId="77777777" w:rsidR="00057E9F"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(u) The RPF shall, upon submission of the notice of exemption:</w:t>
      </w:r>
    </w:p>
    <w:p w14:paraId="221022D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(1) Certify that the level of residual Stocking shall be consistent with maximum sustained production of </w:t>
      </w:r>
      <w:proofErr w:type="gramStart"/>
      <w:r w:rsidRPr="00A80F62">
        <w:rPr>
          <w:rFonts w:ascii="Arial" w:hAnsi="Arial" w:cs="Arial"/>
          <w:sz w:val="24"/>
          <w:szCs w:val="24"/>
        </w:rPr>
        <w:t>high quality</w:t>
      </w:r>
      <w:proofErr w:type="gramEnd"/>
      <w:r w:rsidRPr="00A80F62">
        <w:rPr>
          <w:rFonts w:ascii="Arial" w:hAnsi="Arial" w:cs="Arial"/>
          <w:sz w:val="24"/>
          <w:szCs w:val="24"/>
        </w:rPr>
        <w:t xml:space="preserve"> timber products. The residual stand shall consist primarily of healthy and vigorous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from the preharvest stand. Trees retained to meet the Basal Area stocking standards shall be selected from the largest trees available on the project area prior to harvest. In no case shall stocking be reduced below the standards found within 14 CCR § 913.3 [933.3, 953.3] (a).</w:t>
      </w:r>
    </w:p>
    <w:p w14:paraId="048F7399"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Affirm that the construction or reconstruction of each Temporary Road is necessary to provide access to Harvest Areas when no other feasible alternative exists. The notice shall include the total number </w:t>
      </w:r>
      <w:proofErr w:type="gramStart"/>
      <w:r w:rsidRPr="00A80F62">
        <w:rPr>
          <w:rFonts w:ascii="Arial" w:hAnsi="Arial" w:cs="Arial"/>
          <w:sz w:val="24"/>
          <w:szCs w:val="24"/>
        </w:rPr>
        <w:t>of</w:t>
      </w:r>
      <w:proofErr w:type="gramEnd"/>
      <w:r w:rsidRPr="00A80F62">
        <w:rPr>
          <w:rFonts w:ascii="Arial" w:hAnsi="Arial" w:cs="Arial"/>
          <w:sz w:val="24"/>
          <w:szCs w:val="24"/>
        </w:rPr>
        <w:t xml:space="preserve"> and cumulative length of Temporary Roads being constructed and/or reconstructed.</w:t>
      </w:r>
    </w:p>
    <w:p w14:paraId="60B17E5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5DBFE2B7" w14:textId="77777777" w:rsidR="00C05C85"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(v) The Director shall notify the submitter of the date of the Director’s receipt of the notice of exemption.  </w:t>
      </w:r>
      <w:r w:rsidR="00C05C85" w:rsidRPr="00A80F62">
        <w:rPr>
          <w:rFonts w:ascii="Arial" w:hAnsi="Arial" w:cs="Arial"/>
          <w:sz w:val="24"/>
          <w:szCs w:val="24"/>
        </w:rPr>
        <w:t>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3A78F9D8" w14:textId="767ABD5F" w:rsidR="00C05C85" w:rsidRPr="00A80F62" w:rsidRDefault="00C05C85" w:rsidP="00C05C85">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D2D378F" w14:textId="77777777" w:rsidR="00C05C85" w:rsidRPr="00A80F62" w:rsidRDefault="00C05C85"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(w) Before beginning Timber Operations, the RPF responsible for submittal of the notice of exemption shall notify the Department, the appropriate RWQCB, the CDFW, and the CGS </w:t>
      </w:r>
      <w:r w:rsidRPr="00A80F62">
        <w:rPr>
          <w:rFonts w:ascii="Arial" w:hAnsi="Arial" w:cs="Arial"/>
          <w:sz w:val="24"/>
          <w:szCs w:val="24"/>
        </w:rPr>
        <w:lastRenderedPageBreak/>
        <w:t>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03B78A12" w14:textId="5AF06462" w:rsidR="00702AD4" w:rsidRDefault="00C05C85" w:rsidP="00AD321C">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(x) This subsection will expire five (5) years after February 19, 2019.</w:t>
      </w:r>
    </w:p>
    <w:sectPr w:rsidR="00702AD4" w:rsidSect="00212126">
      <w:footerReference w:type="default" r:id="rId1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Dan@CALFIRE" w:date="2025-01-28T09:50:00Z" w:initials="DC">
    <w:p w14:paraId="0A1E6C6C" w14:textId="77777777" w:rsidR="00CE7CC5" w:rsidRDefault="00CE7CC5" w:rsidP="00CE7CC5">
      <w:pPr>
        <w:pStyle w:val="CommentText"/>
      </w:pPr>
      <w:r>
        <w:rPr>
          <w:rStyle w:val="CommentReference"/>
        </w:rPr>
        <w:annotationRef/>
      </w:r>
      <w:r>
        <w:t>NTS:  Need to use the rule language applied in 2025 before =finalizing the Rule Plead.  Emergency rule language has been approved however, the Board is still working on Final rule language for 1038.3</w:t>
      </w:r>
    </w:p>
  </w:comment>
  <w:comment w:id="5" w:author="Craig, Dan@CALFIRE" w:date="2025-01-28T09:53:00Z" w:initials="DC">
    <w:p w14:paraId="2F8CB6E3" w14:textId="77777777" w:rsidR="00CE7CC5" w:rsidRDefault="00CE7CC5" w:rsidP="00CE7CC5">
      <w:pPr>
        <w:pStyle w:val="CommentText"/>
      </w:pPr>
      <w:r>
        <w:rPr>
          <w:rStyle w:val="CommentReference"/>
        </w:rPr>
        <w:annotationRef/>
      </w:r>
      <w:r>
        <w:t>NTS:  Use the NEW Emergency Rule Language approved in 2025 per AB 2276.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1E6C6C" w15:done="0"/>
  <w15:commentEx w15:paraId="2F8CB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4BBF2" w16cex:dateUtc="2025-01-28T17:50:00Z"/>
  <w16cex:commentExtensible w16cex:durableId="186A2C4B" w16cex:dateUtc="2025-01-2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1E6C6C" w16cid:durableId="3414BBF2"/>
  <w16cid:commentId w16cid:paraId="2F8CB6E3" w16cid:durableId="186A2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722C" w14:textId="77777777" w:rsidR="00D179A2" w:rsidRDefault="00D179A2" w:rsidP="0000092A">
      <w:r>
        <w:separator/>
      </w:r>
    </w:p>
  </w:endnote>
  <w:endnote w:type="continuationSeparator" w:id="0">
    <w:p w14:paraId="3BBF5FA8" w14:textId="77777777" w:rsidR="00D179A2" w:rsidRDefault="00D179A2" w:rsidP="000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3F93C7D4" w:rsidR="0000092A" w:rsidRPr="00E25D57" w:rsidRDefault="0009601C"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70625D">
      <w:t>JOINT</w:t>
    </w:r>
    <w:r w:rsidR="00E25D57">
      <w:t xml:space="preserve"> </w:t>
    </w:r>
    <w:r w:rsidR="001A3D1F">
      <w:t>8</w:t>
    </w:r>
    <w:r>
      <w:t>(</w:t>
    </w:r>
    <w:r w:rsidR="001E4121">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0C6E" w14:textId="77777777" w:rsidR="00D179A2" w:rsidRDefault="00D179A2" w:rsidP="0000092A">
      <w:r>
        <w:separator/>
      </w:r>
    </w:p>
  </w:footnote>
  <w:footnote w:type="continuationSeparator" w:id="0">
    <w:p w14:paraId="486FF20B" w14:textId="77777777" w:rsidR="00D179A2" w:rsidRDefault="00D179A2" w:rsidP="0000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fQE9hKWSWH0XsMHf5lhK3dhieCg6U8cJQXn8fatPZrGmtHxi8g0Z9ii4uZi+UnIL8gXuqP0SWPNVtVgYVFmiA==" w:salt="n4XNiLZEc+KVQ+fla8qJ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2E41"/>
    <w:rsid w:val="00034370"/>
    <w:rsid w:val="0003755F"/>
    <w:rsid w:val="00057E9F"/>
    <w:rsid w:val="00062669"/>
    <w:rsid w:val="00066176"/>
    <w:rsid w:val="00073129"/>
    <w:rsid w:val="00084D15"/>
    <w:rsid w:val="00085080"/>
    <w:rsid w:val="00092252"/>
    <w:rsid w:val="0009601C"/>
    <w:rsid w:val="000B1BEF"/>
    <w:rsid w:val="000B506A"/>
    <w:rsid w:val="000C2604"/>
    <w:rsid w:val="000C730F"/>
    <w:rsid w:val="000D0741"/>
    <w:rsid w:val="00104309"/>
    <w:rsid w:val="00125356"/>
    <w:rsid w:val="00141469"/>
    <w:rsid w:val="00146519"/>
    <w:rsid w:val="00154D38"/>
    <w:rsid w:val="00164FF1"/>
    <w:rsid w:val="0017310A"/>
    <w:rsid w:val="001928D6"/>
    <w:rsid w:val="001A3D1F"/>
    <w:rsid w:val="001A3E57"/>
    <w:rsid w:val="001E4121"/>
    <w:rsid w:val="001F37EA"/>
    <w:rsid w:val="00206D94"/>
    <w:rsid w:val="00212126"/>
    <w:rsid w:val="00221BD5"/>
    <w:rsid w:val="002867E7"/>
    <w:rsid w:val="002920D9"/>
    <w:rsid w:val="002D040D"/>
    <w:rsid w:val="002D39B2"/>
    <w:rsid w:val="002E11FD"/>
    <w:rsid w:val="0031436A"/>
    <w:rsid w:val="003178E9"/>
    <w:rsid w:val="003431E5"/>
    <w:rsid w:val="003477DA"/>
    <w:rsid w:val="00347D3C"/>
    <w:rsid w:val="00377843"/>
    <w:rsid w:val="00382A05"/>
    <w:rsid w:val="003837F1"/>
    <w:rsid w:val="003930DB"/>
    <w:rsid w:val="00396F92"/>
    <w:rsid w:val="003C0CF4"/>
    <w:rsid w:val="003C4FC4"/>
    <w:rsid w:val="003D27E3"/>
    <w:rsid w:val="0040094D"/>
    <w:rsid w:val="00417D46"/>
    <w:rsid w:val="00426098"/>
    <w:rsid w:val="00451D76"/>
    <w:rsid w:val="0046379E"/>
    <w:rsid w:val="004746C6"/>
    <w:rsid w:val="00486E5E"/>
    <w:rsid w:val="00490D80"/>
    <w:rsid w:val="00495176"/>
    <w:rsid w:val="004B3CBF"/>
    <w:rsid w:val="004C1D17"/>
    <w:rsid w:val="004D1291"/>
    <w:rsid w:val="00501E2D"/>
    <w:rsid w:val="005108C6"/>
    <w:rsid w:val="0051601F"/>
    <w:rsid w:val="00517340"/>
    <w:rsid w:val="005230EE"/>
    <w:rsid w:val="00544C00"/>
    <w:rsid w:val="00551588"/>
    <w:rsid w:val="00553351"/>
    <w:rsid w:val="00554065"/>
    <w:rsid w:val="00574A15"/>
    <w:rsid w:val="005A01C0"/>
    <w:rsid w:val="005A529E"/>
    <w:rsid w:val="005B2131"/>
    <w:rsid w:val="005B7783"/>
    <w:rsid w:val="005C2DA7"/>
    <w:rsid w:val="005D1E73"/>
    <w:rsid w:val="005D328E"/>
    <w:rsid w:val="005F1B47"/>
    <w:rsid w:val="00602883"/>
    <w:rsid w:val="0061214E"/>
    <w:rsid w:val="00622BF2"/>
    <w:rsid w:val="00624CA2"/>
    <w:rsid w:val="006425D3"/>
    <w:rsid w:val="00652EF4"/>
    <w:rsid w:val="00685B66"/>
    <w:rsid w:val="006900B3"/>
    <w:rsid w:val="006A0346"/>
    <w:rsid w:val="006A7AEA"/>
    <w:rsid w:val="006B6318"/>
    <w:rsid w:val="006D0085"/>
    <w:rsid w:val="006D0CD0"/>
    <w:rsid w:val="006E37A1"/>
    <w:rsid w:val="006F5490"/>
    <w:rsid w:val="00702AD4"/>
    <w:rsid w:val="0070625D"/>
    <w:rsid w:val="0070663D"/>
    <w:rsid w:val="00713096"/>
    <w:rsid w:val="00732520"/>
    <w:rsid w:val="00773F54"/>
    <w:rsid w:val="00786209"/>
    <w:rsid w:val="00795C8D"/>
    <w:rsid w:val="007978CF"/>
    <w:rsid w:val="007D0274"/>
    <w:rsid w:val="007D0780"/>
    <w:rsid w:val="007D55CE"/>
    <w:rsid w:val="00820CDE"/>
    <w:rsid w:val="008268F6"/>
    <w:rsid w:val="00834E5D"/>
    <w:rsid w:val="00856254"/>
    <w:rsid w:val="008579C9"/>
    <w:rsid w:val="0086106C"/>
    <w:rsid w:val="00865842"/>
    <w:rsid w:val="00876390"/>
    <w:rsid w:val="008935B9"/>
    <w:rsid w:val="008A5C01"/>
    <w:rsid w:val="008D50E3"/>
    <w:rsid w:val="008E0197"/>
    <w:rsid w:val="00904A0B"/>
    <w:rsid w:val="00911361"/>
    <w:rsid w:val="00921B9F"/>
    <w:rsid w:val="0092298B"/>
    <w:rsid w:val="009319D4"/>
    <w:rsid w:val="00942A07"/>
    <w:rsid w:val="00944E5F"/>
    <w:rsid w:val="009463C2"/>
    <w:rsid w:val="00946EA3"/>
    <w:rsid w:val="00956928"/>
    <w:rsid w:val="00974CFA"/>
    <w:rsid w:val="00985649"/>
    <w:rsid w:val="009E03FC"/>
    <w:rsid w:val="009E5481"/>
    <w:rsid w:val="009F3E54"/>
    <w:rsid w:val="00A04510"/>
    <w:rsid w:val="00A35B1B"/>
    <w:rsid w:val="00A60562"/>
    <w:rsid w:val="00A729EE"/>
    <w:rsid w:val="00A732F1"/>
    <w:rsid w:val="00A73DFF"/>
    <w:rsid w:val="00A746AC"/>
    <w:rsid w:val="00A763DF"/>
    <w:rsid w:val="00A80F62"/>
    <w:rsid w:val="00AA74C1"/>
    <w:rsid w:val="00AD06D4"/>
    <w:rsid w:val="00AD321C"/>
    <w:rsid w:val="00AD3553"/>
    <w:rsid w:val="00AF6453"/>
    <w:rsid w:val="00B10887"/>
    <w:rsid w:val="00B20FFA"/>
    <w:rsid w:val="00B24CB6"/>
    <w:rsid w:val="00B34CFA"/>
    <w:rsid w:val="00B4153A"/>
    <w:rsid w:val="00B618A0"/>
    <w:rsid w:val="00B673D9"/>
    <w:rsid w:val="00B84A49"/>
    <w:rsid w:val="00BA3D67"/>
    <w:rsid w:val="00BA62E4"/>
    <w:rsid w:val="00BE22F8"/>
    <w:rsid w:val="00BE69A3"/>
    <w:rsid w:val="00BE6E66"/>
    <w:rsid w:val="00BF4E0A"/>
    <w:rsid w:val="00C05C85"/>
    <w:rsid w:val="00C1167C"/>
    <w:rsid w:val="00C451B0"/>
    <w:rsid w:val="00C55E60"/>
    <w:rsid w:val="00C73DAC"/>
    <w:rsid w:val="00C777A8"/>
    <w:rsid w:val="00C77C8A"/>
    <w:rsid w:val="00CA1A01"/>
    <w:rsid w:val="00CA308F"/>
    <w:rsid w:val="00CA6A35"/>
    <w:rsid w:val="00CC0B9B"/>
    <w:rsid w:val="00CC1DF1"/>
    <w:rsid w:val="00CE7CC5"/>
    <w:rsid w:val="00CF00BF"/>
    <w:rsid w:val="00D016C8"/>
    <w:rsid w:val="00D0664B"/>
    <w:rsid w:val="00D13F21"/>
    <w:rsid w:val="00D179A2"/>
    <w:rsid w:val="00D2128B"/>
    <w:rsid w:val="00D34F03"/>
    <w:rsid w:val="00D83212"/>
    <w:rsid w:val="00DA253A"/>
    <w:rsid w:val="00DC7836"/>
    <w:rsid w:val="00DF012B"/>
    <w:rsid w:val="00DF34CF"/>
    <w:rsid w:val="00DF3DB9"/>
    <w:rsid w:val="00DF6A16"/>
    <w:rsid w:val="00DF7FDE"/>
    <w:rsid w:val="00E00813"/>
    <w:rsid w:val="00E02EDA"/>
    <w:rsid w:val="00E079B0"/>
    <w:rsid w:val="00E25D57"/>
    <w:rsid w:val="00E304BD"/>
    <w:rsid w:val="00E47B66"/>
    <w:rsid w:val="00E55F36"/>
    <w:rsid w:val="00E61014"/>
    <w:rsid w:val="00E806B8"/>
    <w:rsid w:val="00E83DB0"/>
    <w:rsid w:val="00E930F3"/>
    <w:rsid w:val="00EB322A"/>
    <w:rsid w:val="00EB6ECE"/>
    <w:rsid w:val="00ED77A5"/>
    <w:rsid w:val="00EE0A9C"/>
    <w:rsid w:val="00EE169D"/>
    <w:rsid w:val="00EF56A8"/>
    <w:rsid w:val="00F00092"/>
    <w:rsid w:val="00F106CF"/>
    <w:rsid w:val="00F140A3"/>
    <w:rsid w:val="00F15F0F"/>
    <w:rsid w:val="00F17E28"/>
    <w:rsid w:val="00F3092F"/>
    <w:rsid w:val="00F32DF7"/>
    <w:rsid w:val="00F4707C"/>
    <w:rsid w:val="00F53F91"/>
    <w:rsid w:val="00F54BA2"/>
    <w:rsid w:val="00F652FF"/>
    <w:rsid w:val="00F67FB5"/>
    <w:rsid w:val="00F92603"/>
    <w:rsid w:val="00FA142F"/>
    <w:rsid w:val="00FC1CFC"/>
    <w:rsid w:val="00FD09FF"/>
    <w:rsid w:val="00FD70F5"/>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6078</Words>
  <Characters>34649</Characters>
  <Application>Microsoft Office Word</Application>
  <DocSecurity>8</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2024-08-14T16:05:00Z</cp:lastPrinted>
  <dcterms:created xsi:type="dcterms:W3CDTF">2025-02-20T21:23:00Z</dcterms:created>
  <dcterms:modified xsi:type="dcterms:W3CDTF">2025-02-25T17:03:00Z</dcterms:modified>
</cp:coreProperties>
</file>