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BAA8B" w14:textId="77777777" w:rsidR="001A4225" w:rsidRDefault="005F2D59" w:rsidP="005F2D59">
      <w:pPr>
        <w:rPr>
          <w:b/>
          <w:sz w:val="18"/>
        </w:rPr>
      </w:pPr>
      <w:r>
        <w:rPr>
          <w:b/>
          <w:sz w:val="18"/>
        </w:rPr>
        <w:t xml:space="preserve">State of </w:t>
      </w:r>
      <w:smartTag w:uri="urn:schemas-microsoft-com:office:smarttags" w:element="place">
        <w:smartTag w:uri="urn:schemas-microsoft-com:office:smarttags" w:element="State">
          <w:r>
            <w:rPr>
              <w:b/>
              <w:sz w:val="18"/>
            </w:rPr>
            <w:t>California</w:t>
          </w:r>
        </w:smartTag>
      </w:smartTag>
      <w:r>
        <w:rPr>
          <w:b/>
          <w:sz w:val="18"/>
        </w:rPr>
        <w:t xml:space="preserve">                                                                                                                          </w:t>
      </w:r>
    </w:p>
    <w:p w14:paraId="181C4B3F" w14:textId="6A7F9EDD" w:rsidR="005F2D59" w:rsidRDefault="005F2D59" w:rsidP="005F2D59">
      <w:pPr>
        <w:rPr>
          <w:b/>
        </w:rPr>
      </w:pPr>
      <w:r>
        <w:rPr>
          <w:b/>
          <w:sz w:val="22"/>
        </w:rPr>
        <w:t>The Resources Agency</w:t>
      </w:r>
    </w:p>
    <w:p w14:paraId="107F8070" w14:textId="77777777" w:rsidR="005F2D59" w:rsidRDefault="005F2D59" w:rsidP="005F2D59"/>
    <w:p w14:paraId="066F0648" w14:textId="77777777" w:rsidR="005F2D59" w:rsidRDefault="005F2D59" w:rsidP="005F2D59">
      <w:pPr>
        <w:rPr>
          <w:spacing w:val="100"/>
          <w:sz w:val="36"/>
        </w:rPr>
      </w:pPr>
      <w:r>
        <w:rPr>
          <w:b/>
          <w:spacing w:val="100"/>
          <w:sz w:val="36"/>
        </w:rPr>
        <w:t>Memorandum</w:t>
      </w:r>
    </w:p>
    <w:p w14:paraId="6C50B778" w14:textId="77777777" w:rsidR="005F2D59" w:rsidRDefault="005F2D59" w:rsidP="005F2D59">
      <w:pPr>
        <w:rPr>
          <w:spacing w:val="120"/>
        </w:rPr>
      </w:pPr>
    </w:p>
    <w:p w14:paraId="6F9B6316" w14:textId="77777777" w:rsidR="005F2D59" w:rsidRDefault="005F2D59" w:rsidP="005F2D59">
      <w:pPr>
        <w:rPr>
          <w:spacing w:val="120"/>
        </w:rPr>
      </w:pPr>
    </w:p>
    <w:tbl>
      <w:tblPr>
        <w:tblW w:w="0" w:type="auto"/>
        <w:tblLayout w:type="fixed"/>
        <w:tblCellMar>
          <w:left w:w="0" w:type="dxa"/>
          <w:right w:w="0" w:type="dxa"/>
        </w:tblCellMar>
        <w:tblLook w:val="0000" w:firstRow="0" w:lastRow="0" w:firstColumn="0" w:lastColumn="0" w:noHBand="0" w:noVBand="0"/>
      </w:tblPr>
      <w:tblGrid>
        <w:gridCol w:w="1260"/>
        <w:gridCol w:w="5689"/>
        <w:gridCol w:w="3851"/>
      </w:tblGrid>
      <w:tr w:rsidR="005F2D59" w:rsidRPr="00D11B30" w14:paraId="013E68A9" w14:textId="77777777" w:rsidTr="000E6831">
        <w:trPr>
          <w:cantSplit/>
          <w:trHeight w:hRule="exact" w:val="1476"/>
        </w:trPr>
        <w:tc>
          <w:tcPr>
            <w:tcW w:w="1260" w:type="dxa"/>
          </w:tcPr>
          <w:p w14:paraId="373543CB" w14:textId="77777777" w:rsidR="005F2D59" w:rsidRPr="00D11B30" w:rsidRDefault="005F2D59" w:rsidP="000E6831">
            <w:pPr>
              <w:rPr>
                <w:rFonts w:cs="Arial"/>
                <w:szCs w:val="24"/>
              </w:rPr>
            </w:pPr>
            <w:r w:rsidRPr="00D11B30">
              <w:rPr>
                <w:rFonts w:cs="Arial"/>
                <w:b/>
                <w:szCs w:val="24"/>
              </w:rPr>
              <w:t>To:</w:t>
            </w:r>
          </w:p>
          <w:p w14:paraId="1176A5E1" w14:textId="77777777" w:rsidR="005F2D59" w:rsidRPr="00D11B30" w:rsidRDefault="005F2D59" w:rsidP="000E6831">
            <w:pPr>
              <w:rPr>
                <w:rFonts w:cs="Arial"/>
                <w:szCs w:val="24"/>
              </w:rPr>
            </w:pPr>
            <w:r w:rsidRPr="00D11B30">
              <w:rPr>
                <w:rFonts w:cs="Arial"/>
                <w:szCs w:val="24"/>
              </w:rPr>
              <w:t xml:space="preserve">                                                                                                                            </w:t>
            </w:r>
          </w:p>
          <w:p w14:paraId="0FC66822" w14:textId="77777777" w:rsidR="005F2D59" w:rsidRPr="00D11B30" w:rsidRDefault="005F2D59" w:rsidP="000E6831">
            <w:pPr>
              <w:rPr>
                <w:rFonts w:cs="Arial"/>
                <w:szCs w:val="24"/>
              </w:rPr>
            </w:pPr>
            <w:r w:rsidRPr="00D11B30">
              <w:rPr>
                <w:rFonts w:cs="Arial"/>
                <w:szCs w:val="24"/>
              </w:rPr>
              <w:t xml:space="preserve">                                                                                                                            </w:t>
            </w:r>
          </w:p>
          <w:p w14:paraId="49958717" w14:textId="77777777" w:rsidR="005F2D59" w:rsidRPr="00D11B30" w:rsidRDefault="005F2D59" w:rsidP="000E6831">
            <w:pPr>
              <w:rPr>
                <w:rFonts w:cs="Arial"/>
                <w:szCs w:val="24"/>
              </w:rPr>
            </w:pPr>
            <w:r w:rsidRPr="00D11B30">
              <w:rPr>
                <w:rFonts w:cs="Arial"/>
                <w:szCs w:val="24"/>
              </w:rPr>
              <w:t xml:space="preserve">                                                                                                                             </w:t>
            </w:r>
          </w:p>
          <w:p w14:paraId="086C53AD" w14:textId="77777777" w:rsidR="005F2D59" w:rsidRPr="00D11B30" w:rsidRDefault="005F2D59" w:rsidP="000E6831">
            <w:pPr>
              <w:rPr>
                <w:rFonts w:cs="Arial"/>
                <w:szCs w:val="24"/>
              </w:rPr>
            </w:pPr>
            <w:r w:rsidRPr="00D11B30">
              <w:rPr>
                <w:rFonts w:cs="Arial"/>
                <w:szCs w:val="24"/>
              </w:rPr>
              <w:t xml:space="preserve">                                                                                                                            </w:t>
            </w:r>
          </w:p>
          <w:p w14:paraId="3ED2D0EA" w14:textId="77777777" w:rsidR="005F2D59" w:rsidRPr="00D11B30" w:rsidRDefault="005F2D59" w:rsidP="000E6831">
            <w:pPr>
              <w:rPr>
                <w:rFonts w:cs="Arial"/>
                <w:szCs w:val="24"/>
              </w:rPr>
            </w:pPr>
            <w:r w:rsidRPr="00D11B30">
              <w:rPr>
                <w:rFonts w:cs="Arial"/>
                <w:szCs w:val="24"/>
              </w:rPr>
              <w:t xml:space="preserve">                                                            </w:t>
            </w:r>
          </w:p>
          <w:p w14:paraId="38A57C45" w14:textId="77777777" w:rsidR="005F2D59" w:rsidRPr="00D11B30" w:rsidRDefault="005F2D59" w:rsidP="000E6831">
            <w:pPr>
              <w:rPr>
                <w:rFonts w:cs="Arial"/>
                <w:szCs w:val="24"/>
              </w:rPr>
            </w:pPr>
            <w:r w:rsidRPr="00D11B30">
              <w:rPr>
                <w:rFonts w:cs="Arial"/>
                <w:szCs w:val="24"/>
              </w:rPr>
              <w:t xml:space="preserve">                                                       </w:t>
            </w:r>
          </w:p>
          <w:p w14:paraId="3F9D460C" w14:textId="77777777" w:rsidR="005F2D59" w:rsidRPr="00D11B30" w:rsidRDefault="005F2D59" w:rsidP="000E6831">
            <w:pPr>
              <w:rPr>
                <w:rFonts w:cs="Arial"/>
                <w:szCs w:val="24"/>
              </w:rPr>
            </w:pPr>
            <w:r w:rsidRPr="00D11B30">
              <w:rPr>
                <w:rFonts w:cs="Arial"/>
                <w:szCs w:val="24"/>
              </w:rPr>
              <w:t xml:space="preserve">                                                                                                                                                                                                                                                     </w:t>
            </w:r>
          </w:p>
          <w:p w14:paraId="0F95122E" w14:textId="77777777" w:rsidR="005F2D59" w:rsidRPr="00D11B30" w:rsidRDefault="005F2D59" w:rsidP="000E6831">
            <w:pPr>
              <w:rPr>
                <w:rFonts w:cs="Arial"/>
                <w:szCs w:val="24"/>
              </w:rPr>
            </w:pPr>
          </w:p>
          <w:p w14:paraId="64E71DB0" w14:textId="77777777" w:rsidR="005F2D59" w:rsidRPr="00D11B30" w:rsidRDefault="005F2D59" w:rsidP="000E6831">
            <w:pPr>
              <w:rPr>
                <w:rFonts w:cs="Arial"/>
                <w:szCs w:val="24"/>
              </w:rPr>
            </w:pPr>
          </w:p>
          <w:p w14:paraId="116AE4DF" w14:textId="77777777" w:rsidR="005F2D59" w:rsidRPr="00D11B30" w:rsidRDefault="005F2D59" w:rsidP="000E6831">
            <w:pPr>
              <w:rPr>
                <w:rFonts w:cs="Arial"/>
                <w:szCs w:val="24"/>
              </w:rPr>
            </w:pPr>
          </w:p>
          <w:p w14:paraId="4CDB031F" w14:textId="77777777" w:rsidR="005F2D59" w:rsidRPr="00D11B30" w:rsidRDefault="005F2D59" w:rsidP="000E6831">
            <w:pPr>
              <w:rPr>
                <w:rFonts w:cs="Arial"/>
                <w:szCs w:val="24"/>
              </w:rPr>
            </w:pPr>
          </w:p>
          <w:p w14:paraId="09139A60" w14:textId="77777777" w:rsidR="005F2D59" w:rsidRPr="00D11B30" w:rsidRDefault="005F2D59" w:rsidP="000E6831">
            <w:pPr>
              <w:rPr>
                <w:rFonts w:cs="Arial"/>
                <w:szCs w:val="24"/>
              </w:rPr>
            </w:pPr>
            <w:r w:rsidRPr="00D11B30">
              <w:rPr>
                <w:rFonts w:cs="Arial"/>
                <w:szCs w:val="24"/>
              </w:rPr>
              <w:t xml:space="preserve">                                                                                 </w:t>
            </w:r>
          </w:p>
        </w:tc>
        <w:tc>
          <w:tcPr>
            <w:tcW w:w="5689" w:type="dxa"/>
          </w:tcPr>
          <w:p w14:paraId="50160DBF" w14:textId="14833D45" w:rsidR="005F2D59" w:rsidRPr="00D11B30" w:rsidRDefault="00683EAF" w:rsidP="000E6831">
            <w:pPr>
              <w:jc w:val="both"/>
              <w:rPr>
                <w:rFonts w:cs="Arial"/>
                <w:szCs w:val="24"/>
              </w:rPr>
            </w:pPr>
            <w:bookmarkStart w:id="0" w:name="Recipient"/>
            <w:bookmarkEnd w:id="0"/>
            <w:r>
              <w:rPr>
                <w:rFonts w:cs="Arial"/>
                <w:szCs w:val="24"/>
              </w:rPr>
              <w:t xml:space="preserve">California </w:t>
            </w:r>
            <w:r w:rsidR="005F2D59">
              <w:rPr>
                <w:rFonts w:cs="Arial"/>
                <w:szCs w:val="24"/>
              </w:rPr>
              <w:t>Board of Forestry</w:t>
            </w:r>
            <w:r>
              <w:rPr>
                <w:rFonts w:cs="Arial"/>
                <w:szCs w:val="24"/>
              </w:rPr>
              <w:t xml:space="preserve"> and Fire Protection</w:t>
            </w:r>
          </w:p>
          <w:p w14:paraId="791A2D0D" w14:textId="77777777" w:rsidR="005F2D59" w:rsidRPr="00D11B30" w:rsidRDefault="005F2D59" w:rsidP="000E6831">
            <w:pPr>
              <w:jc w:val="both"/>
              <w:rPr>
                <w:rFonts w:cs="Arial"/>
                <w:szCs w:val="24"/>
              </w:rPr>
            </w:pPr>
            <w:r w:rsidRPr="00D11B30">
              <w:rPr>
                <w:rFonts w:cs="Arial"/>
                <w:szCs w:val="24"/>
              </w:rPr>
              <w:t xml:space="preserve"> </w:t>
            </w:r>
          </w:p>
          <w:p w14:paraId="7C3F55AA" w14:textId="77777777" w:rsidR="005F2D59" w:rsidRPr="00D11B30" w:rsidRDefault="005F2D59" w:rsidP="000E6831">
            <w:pPr>
              <w:jc w:val="both"/>
              <w:rPr>
                <w:rFonts w:cs="Arial"/>
                <w:szCs w:val="24"/>
              </w:rPr>
            </w:pPr>
          </w:p>
          <w:p w14:paraId="24C64409" w14:textId="77777777" w:rsidR="005F2D59" w:rsidRPr="00D11B30" w:rsidRDefault="005F2D59" w:rsidP="000E6831">
            <w:pPr>
              <w:rPr>
                <w:rFonts w:cs="Arial"/>
                <w:szCs w:val="24"/>
              </w:rPr>
            </w:pPr>
          </w:p>
          <w:p w14:paraId="652CC8B0" w14:textId="77777777" w:rsidR="005F2D59" w:rsidRPr="00D11B30" w:rsidRDefault="005F2D59" w:rsidP="000E6831">
            <w:pPr>
              <w:rPr>
                <w:rFonts w:cs="Arial"/>
                <w:szCs w:val="24"/>
              </w:rPr>
            </w:pPr>
          </w:p>
          <w:p w14:paraId="021BE35B" w14:textId="77777777" w:rsidR="005F2D59" w:rsidRPr="00D11B30" w:rsidRDefault="005F2D59" w:rsidP="000E6831">
            <w:pPr>
              <w:rPr>
                <w:rFonts w:cs="Arial"/>
                <w:szCs w:val="24"/>
              </w:rPr>
            </w:pPr>
          </w:p>
          <w:p w14:paraId="02EDBE41" w14:textId="77777777" w:rsidR="005F2D59" w:rsidRPr="00D11B30" w:rsidRDefault="005F2D59" w:rsidP="000E6831">
            <w:pPr>
              <w:rPr>
                <w:rFonts w:cs="Arial"/>
                <w:szCs w:val="24"/>
              </w:rPr>
            </w:pPr>
          </w:p>
          <w:p w14:paraId="75A86CD3" w14:textId="77777777" w:rsidR="005F2D59" w:rsidRPr="00D11B30" w:rsidRDefault="005F2D59" w:rsidP="000E6831">
            <w:pPr>
              <w:rPr>
                <w:rFonts w:cs="Arial"/>
                <w:szCs w:val="24"/>
              </w:rPr>
            </w:pPr>
          </w:p>
          <w:p w14:paraId="5963C7BE" w14:textId="77777777" w:rsidR="005F2D59" w:rsidRPr="00D11B30" w:rsidRDefault="005F2D59" w:rsidP="000E6831">
            <w:pPr>
              <w:rPr>
                <w:rFonts w:cs="Arial"/>
                <w:szCs w:val="24"/>
              </w:rPr>
            </w:pPr>
          </w:p>
          <w:p w14:paraId="63F2A85A" w14:textId="77777777" w:rsidR="005F2D59" w:rsidRPr="00D11B30" w:rsidRDefault="005F2D59" w:rsidP="000E6831">
            <w:pPr>
              <w:rPr>
                <w:rFonts w:cs="Arial"/>
                <w:szCs w:val="24"/>
              </w:rPr>
            </w:pPr>
            <w:r w:rsidRPr="00D11B30">
              <w:rPr>
                <w:rFonts w:cs="Arial"/>
                <w:szCs w:val="24"/>
              </w:rPr>
              <w:t xml:space="preserve"> </w:t>
            </w:r>
          </w:p>
        </w:tc>
        <w:tc>
          <w:tcPr>
            <w:tcW w:w="3851" w:type="dxa"/>
          </w:tcPr>
          <w:p w14:paraId="6F3166D9" w14:textId="5ED15ACE" w:rsidR="005F2D59" w:rsidRPr="00A513FE" w:rsidRDefault="005F2D59" w:rsidP="000E6831">
            <w:pPr>
              <w:rPr>
                <w:rFonts w:cs="Arial"/>
                <w:szCs w:val="24"/>
              </w:rPr>
            </w:pPr>
            <w:r w:rsidRPr="00AF1C66">
              <w:rPr>
                <w:rFonts w:cs="Arial"/>
                <w:b/>
                <w:szCs w:val="24"/>
              </w:rPr>
              <w:t>Date:</w:t>
            </w:r>
            <w:r w:rsidRPr="00A513FE">
              <w:rPr>
                <w:rFonts w:cs="Arial"/>
                <w:szCs w:val="24"/>
              </w:rPr>
              <w:t xml:space="preserve"> </w:t>
            </w:r>
            <w:r w:rsidR="00266779">
              <w:rPr>
                <w:rFonts w:cs="Arial"/>
                <w:szCs w:val="24"/>
              </w:rPr>
              <w:t>August</w:t>
            </w:r>
            <w:r w:rsidR="00853037">
              <w:rPr>
                <w:rFonts w:cs="Arial"/>
                <w:szCs w:val="24"/>
              </w:rPr>
              <w:t xml:space="preserve"> </w:t>
            </w:r>
            <w:r w:rsidR="00266779">
              <w:rPr>
                <w:rFonts w:cs="Arial"/>
                <w:szCs w:val="24"/>
              </w:rPr>
              <w:t>30</w:t>
            </w:r>
            <w:r w:rsidR="00853037">
              <w:rPr>
                <w:rFonts w:cs="Arial"/>
                <w:szCs w:val="24"/>
              </w:rPr>
              <w:t>, 2024</w:t>
            </w:r>
          </w:p>
          <w:p w14:paraId="55439116" w14:textId="77777777" w:rsidR="005F2D59" w:rsidRPr="00D11B30" w:rsidRDefault="005F2D59" w:rsidP="000E6831">
            <w:pPr>
              <w:rPr>
                <w:rFonts w:cs="Arial"/>
                <w:szCs w:val="24"/>
              </w:rPr>
            </w:pPr>
          </w:p>
          <w:p w14:paraId="1C21D562" w14:textId="1D83A0A1" w:rsidR="005F2D59" w:rsidRPr="00D11B30" w:rsidRDefault="005F2D59" w:rsidP="000E6831">
            <w:pPr>
              <w:rPr>
                <w:rFonts w:cs="Arial"/>
                <w:szCs w:val="24"/>
              </w:rPr>
            </w:pPr>
            <w:r w:rsidRPr="00D11B30">
              <w:rPr>
                <w:rFonts w:cs="Arial"/>
                <w:b/>
                <w:szCs w:val="24"/>
              </w:rPr>
              <w:t>Telephone:</w:t>
            </w:r>
            <w:bookmarkStart w:id="1" w:name="Phone"/>
            <w:bookmarkEnd w:id="1"/>
            <w:r w:rsidR="00683EAF">
              <w:rPr>
                <w:rFonts w:cs="Arial"/>
                <w:b/>
                <w:szCs w:val="24"/>
              </w:rPr>
              <w:t xml:space="preserve"> 530-379-5085</w:t>
            </w:r>
          </w:p>
          <w:p w14:paraId="5903C2A7" w14:textId="77777777" w:rsidR="005F2D59" w:rsidRPr="00D11B30" w:rsidRDefault="005F2D59" w:rsidP="000E6831">
            <w:pPr>
              <w:rPr>
                <w:rFonts w:cs="Arial"/>
                <w:szCs w:val="24"/>
              </w:rPr>
            </w:pPr>
          </w:p>
          <w:p w14:paraId="004F6766" w14:textId="77777777" w:rsidR="005F2D59" w:rsidRPr="00A513FE" w:rsidRDefault="005F2D59" w:rsidP="000E6831">
            <w:pPr>
              <w:rPr>
                <w:rFonts w:cs="Arial"/>
                <w:szCs w:val="24"/>
              </w:rPr>
            </w:pPr>
            <w:r w:rsidRPr="00AF1C66">
              <w:rPr>
                <w:rFonts w:cs="Arial"/>
                <w:b/>
                <w:szCs w:val="24"/>
              </w:rPr>
              <w:t>Website:</w:t>
            </w:r>
            <w:r w:rsidRPr="00A513FE">
              <w:rPr>
                <w:rFonts w:cs="Arial"/>
                <w:szCs w:val="24"/>
              </w:rPr>
              <w:t xml:space="preserve"> www.fire.ca.gov</w:t>
            </w:r>
          </w:p>
        </w:tc>
      </w:tr>
    </w:tbl>
    <w:p w14:paraId="5241BC24" w14:textId="77777777" w:rsidR="005F2D59" w:rsidRPr="00D11B30" w:rsidRDefault="005F2D59" w:rsidP="005F2D59">
      <w:pPr>
        <w:rPr>
          <w:rFonts w:cs="Arial"/>
          <w:b/>
          <w:szCs w:val="24"/>
        </w:rPr>
      </w:pPr>
    </w:p>
    <w:p w14:paraId="3EDB8164" w14:textId="77777777" w:rsidR="005F2D59" w:rsidRPr="00D11B30" w:rsidRDefault="005F2D59" w:rsidP="005F2D59">
      <w:pPr>
        <w:rPr>
          <w:rFonts w:cs="Arial"/>
          <w:szCs w:val="24"/>
        </w:rPr>
      </w:pPr>
      <w:r w:rsidRPr="00D11B30">
        <w:rPr>
          <w:rFonts w:cs="Arial"/>
          <w:b/>
          <w:szCs w:val="24"/>
        </w:rPr>
        <w:t>From</w:t>
      </w:r>
      <w:r w:rsidRPr="00D11B30">
        <w:rPr>
          <w:rFonts w:cs="Arial"/>
          <w:szCs w:val="24"/>
        </w:rPr>
        <w:t xml:space="preserve">:         </w:t>
      </w:r>
      <w:r>
        <w:rPr>
          <w:rFonts w:cs="Arial"/>
          <w:szCs w:val="24"/>
        </w:rPr>
        <w:t>Stewart McMorrow, Staff Chief Wildfire Resilience</w:t>
      </w:r>
    </w:p>
    <w:p w14:paraId="05FF9CFE" w14:textId="77777777" w:rsidR="005F2D59" w:rsidRPr="00B33AA8" w:rsidRDefault="005F2D59" w:rsidP="005F2D59">
      <w:pPr>
        <w:ind w:left="540" w:firstLine="720"/>
        <w:rPr>
          <w:rFonts w:cs="Arial"/>
          <w:szCs w:val="24"/>
        </w:rPr>
      </w:pPr>
      <w:r>
        <w:rPr>
          <w:rFonts w:cs="Arial"/>
          <w:szCs w:val="24"/>
        </w:rPr>
        <w:t>Lewis A. Moran Reforestation Center</w:t>
      </w:r>
    </w:p>
    <w:p w14:paraId="3A367093" w14:textId="77777777" w:rsidR="005F2D59" w:rsidRPr="00B33AA8" w:rsidRDefault="005F2D59" w:rsidP="005F2D59">
      <w:pPr>
        <w:ind w:left="1260"/>
        <w:jc w:val="both"/>
        <w:rPr>
          <w:rFonts w:cs="Arial"/>
          <w:szCs w:val="24"/>
        </w:rPr>
      </w:pPr>
      <w:r>
        <w:rPr>
          <w:rFonts w:cs="Arial"/>
          <w:szCs w:val="24"/>
        </w:rPr>
        <w:t>Resource Management</w:t>
      </w:r>
    </w:p>
    <w:p w14:paraId="55898900" w14:textId="77777777" w:rsidR="005F2D59" w:rsidRPr="00B33AA8" w:rsidRDefault="005F2D59" w:rsidP="005F2D59">
      <w:pPr>
        <w:ind w:left="1260"/>
        <w:rPr>
          <w:rFonts w:cs="Arial"/>
          <w:b/>
          <w:szCs w:val="24"/>
        </w:rPr>
      </w:pPr>
      <w:r w:rsidRPr="00B33AA8">
        <w:rPr>
          <w:rFonts w:cs="Arial"/>
          <w:b/>
          <w:szCs w:val="24"/>
        </w:rPr>
        <w:t>California Department of Forestry and Fire Protection (</w:t>
      </w:r>
      <w:smartTag w:uri="urn:schemas-microsoft-com:office:smarttags" w:element="place">
        <w:smartTag w:uri="urn:schemas-microsoft-com:office:smarttags" w:element="State">
          <w:r w:rsidRPr="00B33AA8">
            <w:rPr>
              <w:rFonts w:cs="Arial"/>
              <w:b/>
              <w:szCs w:val="24"/>
            </w:rPr>
            <w:t>CAL</w:t>
          </w:r>
        </w:smartTag>
      </w:smartTag>
      <w:r w:rsidRPr="00B33AA8">
        <w:rPr>
          <w:rFonts w:cs="Arial"/>
          <w:b/>
          <w:szCs w:val="24"/>
        </w:rPr>
        <w:t xml:space="preserve"> FIRE)</w:t>
      </w:r>
    </w:p>
    <w:p w14:paraId="1859976D" w14:textId="77777777" w:rsidR="005F2D59" w:rsidRDefault="005F2D59" w:rsidP="005F2D59">
      <w:pPr>
        <w:rPr>
          <w:rFonts w:cs="Arial"/>
          <w:szCs w:val="24"/>
        </w:rPr>
      </w:pPr>
    </w:p>
    <w:tbl>
      <w:tblPr>
        <w:tblW w:w="10080" w:type="dxa"/>
        <w:tblLayout w:type="fixed"/>
        <w:tblCellMar>
          <w:left w:w="0" w:type="dxa"/>
          <w:right w:w="0" w:type="dxa"/>
        </w:tblCellMar>
        <w:tblLook w:val="0000" w:firstRow="0" w:lastRow="0" w:firstColumn="0" w:lastColumn="0" w:noHBand="0" w:noVBand="0"/>
      </w:tblPr>
      <w:tblGrid>
        <w:gridCol w:w="1260"/>
        <w:gridCol w:w="8820"/>
      </w:tblGrid>
      <w:tr w:rsidR="005F2D59" w:rsidRPr="00B33AA8" w14:paraId="6E9433B1" w14:textId="77777777" w:rsidTr="001721F0">
        <w:trPr>
          <w:trHeight w:val="675"/>
        </w:trPr>
        <w:tc>
          <w:tcPr>
            <w:tcW w:w="1260" w:type="dxa"/>
          </w:tcPr>
          <w:p w14:paraId="4012DC95" w14:textId="76E14888" w:rsidR="005F2D59" w:rsidRPr="00B33AA8" w:rsidRDefault="005F2D59" w:rsidP="000E6831">
            <w:pPr>
              <w:rPr>
                <w:rFonts w:cs="Arial"/>
                <w:b/>
                <w:szCs w:val="24"/>
              </w:rPr>
            </w:pPr>
            <w:r w:rsidRPr="00B33AA8">
              <w:rPr>
                <w:rFonts w:cs="Arial"/>
                <w:b/>
                <w:szCs w:val="24"/>
              </w:rPr>
              <w:t xml:space="preserve">Subject:    </w:t>
            </w:r>
          </w:p>
        </w:tc>
        <w:tc>
          <w:tcPr>
            <w:tcW w:w="8820" w:type="dxa"/>
          </w:tcPr>
          <w:p w14:paraId="5C3630FD" w14:textId="020EB520" w:rsidR="001721F0" w:rsidRDefault="00815CE5" w:rsidP="000E6831">
            <w:pPr>
              <w:rPr>
                <w:rFonts w:cs="Arial"/>
                <w:szCs w:val="24"/>
              </w:rPr>
            </w:pPr>
            <w:bookmarkStart w:id="2" w:name="Subject"/>
            <w:bookmarkEnd w:id="2"/>
            <w:r>
              <w:rPr>
                <w:rFonts w:cs="Arial"/>
                <w:szCs w:val="24"/>
              </w:rPr>
              <w:t xml:space="preserve">Proposed </w:t>
            </w:r>
            <w:r w:rsidR="00B27192">
              <w:rPr>
                <w:rFonts w:cs="Arial"/>
                <w:szCs w:val="24"/>
              </w:rPr>
              <w:t xml:space="preserve">new </w:t>
            </w:r>
            <w:r w:rsidR="00853037">
              <w:rPr>
                <w:rFonts w:cs="Arial"/>
                <w:szCs w:val="24"/>
              </w:rPr>
              <w:t xml:space="preserve">hardwood </w:t>
            </w:r>
            <w:r>
              <w:rPr>
                <w:rFonts w:cs="Arial"/>
                <w:szCs w:val="24"/>
              </w:rPr>
              <w:t>s</w:t>
            </w:r>
            <w:r w:rsidR="001721F0">
              <w:rPr>
                <w:rFonts w:cs="Arial"/>
                <w:szCs w:val="24"/>
              </w:rPr>
              <w:t>eed</w:t>
            </w:r>
            <w:r w:rsidR="00853037">
              <w:rPr>
                <w:rFonts w:cs="Arial"/>
                <w:szCs w:val="24"/>
              </w:rPr>
              <w:t>ling</w:t>
            </w:r>
            <w:r w:rsidR="001721F0">
              <w:rPr>
                <w:rFonts w:cs="Arial"/>
                <w:szCs w:val="24"/>
              </w:rPr>
              <w:t xml:space="preserve"> </w:t>
            </w:r>
            <w:r w:rsidR="00853037">
              <w:rPr>
                <w:rFonts w:cs="Arial"/>
                <w:szCs w:val="24"/>
              </w:rPr>
              <w:t>price</w:t>
            </w:r>
            <w:r w:rsidR="00B27192">
              <w:rPr>
                <w:rFonts w:cs="Arial"/>
                <w:szCs w:val="24"/>
              </w:rPr>
              <w:t>s</w:t>
            </w:r>
            <w:r w:rsidR="00424344">
              <w:rPr>
                <w:rFonts w:cs="Arial"/>
                <w:szCs w:val="24"/>
              </w:rPr>
              <w:t xml:space="preserve"> at LAMRC</w:t>
            </w:r>
            <w:r>
              <w:rPr>
                <w:rFonts w:cs="Arial"/>
                <w:szCs w:val="24"/>
              </w:rPr>
              <w:t>.</w:t>
            </w:r>
          </w:p>
          <w:p w14:paraId="56A8586F" w14:textId="77777777" w:rsidR="00815CE5" w:rsidRDefault="00815CE5" w:rsidP="000E6831">
            <w:pPr>
              <w:rPr>
                <w:rFonts w:cs="Arial"/>
                <w:b/>
                <w:szCs w:val="24"/>
                <w:u w:val="single"/>
              </w:rPr>
            </w:pPr>
          </w:p>
          <w:p w14:paraId="0CB749BB" w14:textId="77777777" w:rsidR="005F2D59" w:rsidRPr="00B33AA8" w:rsidRDefault="005F2D59" w:rsidP="000E6831">
            <w:pPr>
              <w:jc w:val="center"/>
              <w:rPr>
                <w:rFonts w:cs="Arial"/>
                <w:szCs w:val="24"/>
              </w:rPr>
            </w:pPr>
          </w:p>
        </w:tc>
      </w:tr>
    </w:tbl>
    <w:p w14:paraId="4926AFC5" w14:textId="77777777" w:rsidR="00853037" w:rsidRPr="00B27192" w:rsidRDefault="00853037" w:rsidP="00853037">
      <w:pPr>
        <w:rPr>
          <w:b/>
          <w:bCs/>
          <w:szCs w:val="24"/>
          <w:u w:val="single"/>
        </w:rPr>
      </w:pPr>
      <w:r w:rsidRPr="00B27192">
        <w:rPr>
          <w:b/>
          <w:bCs/>
          <w:szCs w:val="24"/>
          <w:u w:val="single"/>
        </w:rPr>
        <w:t>Background</w:t>
      </w:r>
    </w:p>
    <w:p w14:paraId="63A081CC" w14:textId="77777777" w:rsidR="006343F2" w:rsidRDefault="00853037" w:rsidP="00853037">
      <w:r w:rsidRPr="0045272E">
        <w:t>The Lewis A. Moran Reforestation Center</w:t>
      </w:r>
      <w:r>
        <w:t xml:space="preserve"> (LAMRC) in Davis produces approximately 250,000 containerized seedlings per year for reforestation on non-industrial, privately-owned forest lands in California.  We are also authorized and mandated to produce seedlings for other conservation purposes, such as wildlife habit improvement, soil erosion control and watershed protection, per Public Resources Code</w:t>
      </w:r>
      <w:r w:rsidR="00B27192">
        <w:t xml:space="preserve"> (PRC)</w:t>
      </w:r>
      <w:r>
        <w:t xml:space="preserve">, Sections </w:t>
      </w:r>
      <w:hyperlink r:id="rId8" w:history="1">
        <w:r>
          <w:rPr>
            <w:rStyle w:val="Hyperlink"/>
          </w:rPr>
          <w:t>4681</w:t>
        </w:r>
      </w:hyperlink>
      <w:r>
        <w:t xml:space="preserve"> and </w:t>
      </w:r>
      <w:hyperlink r:id="rId9" w:history="1">
        <w:r>
          <w:rPr>
            <w:rStyle w:val="Hyperlink"/>
          </w:rPr>
          <w:t>4683</w:t>
        </w:r>
      </w:hyperlink>
      <w:r>
        <w:t xml:space="preserve">. </w:t>
      </w:r>
    </w:p>
    <w:p w14:paraId="6326F1D1" w14:textId="77777777" w:rsidR="006343F2" w:rsidRDefault="006343F2" w:rsidP="00853037"/>
    <w:p w14:paraId="2A45FCC7" w14:textId="6329267D" w:rsidR="00635CE0" w:rsidRDefault="006343F2" w:rsidP="00853037">
      <w:r>
        <w:t>S</w:t>
      </w:r>
      <w:r w:rsidR="00853037">
        <w:t>ince reopening the nursery in 2018, and due to several catastrophic wildfires in subsequent years, all of our efforts and priorities have been focused on producing conifer seedlings for post-fire reforestation.</w:t>
      </w:r>
      <w:r>
        <w:t xml:space="preserve">  </w:t>
      </w:r>
      <w:r w:rsidR="00853037">
        <w:t xml:space="preserve">Many of our customers are reforesting not with the intent to harvest trees in the future, but to merely reestablish the forest environment to pre-fire conditions.  For this reason, many customers have submitted requests to purchase seedlings other than commercial conifers.  In response, the nursery has revived, on a limited basis, the hardwood propagation program that ceased in 2003, when the nursery closed.  </w:t>
      </w:r>
    </w:p>
    <w:p w14:paraId="4BDE3268" w14:textId="77777777" w:rsidR="00B27192" w:rsidRDefault="00B27192" w:rsidP="00853037"/>
    <w:p w14:paraId="170D3D8A" w14:textId="1E608360" w:rsidR="00B27192" w:rsidRDefault="00B27192" w:rsidP="00853037">
      <w:r>
        <w:t>The following information describes the analysis and procedures we used to determine appropriate hardwood seedling prices for our customers.</w:t>
      </w:r>
    </w:p>
    <w:p w14:paraId="7F0A2AB7" w14:textId="506262D5" w:rsidR="006B6DB7" w:rsidRDefault="006B6DB7" w:rsidP="00DB2CEF">
      <w:pPr>
        <w:rPr>
          <w:rFonts w:cs="Arial"/>
        </w:rPr>
      </w:pPr>
    </w:p>
    <w:p w14:paraId="385E27B8" w14:textId="4E53D339" w:rsidR="00853037" w:rsidRPr="00B27192" w:rsidRDefault="00853037" w:rsidP="00853037">
      <w:pPr>
        <w:rPr>
          <w:b/>
          <w:bCs/>
          <w:szCs w:val="24"/>
          <w:u w:val="single"/>
        </w:rPr>
      </w:pPr>
      <w:r w:rsidRPr="00B27192">
        <w:rPr>
          <w:b/>
          <w:bCs/>
          <w:szCs w:val="24"/>
          <w:u w:val="single"/>
        </w:rPr>
        <w:t>Cost of Productions Considerations</w:t>
      </w:r>
    </w:p>
    <w:p w14:paraId="5BF58D9E" w14:textId="58FD7D01" w:rsidR="00F44E69" w:rsidRDefault="00853037" w:rsidP="00F44E69">
      <w:r>
        <w:t xml:space="preserve">Native hardwoods are </w:t>
      </w:r>
      <w:r w:rsidR="00424344">
        <w:t xml:space="preserve">much </w:t>
      </w:r>
      <w:r>
        <w:t xml:space="preserve">more costly to produce than are conifers, necessitating a higher pricing structure for sales.  </w:t>
      </w:r>
      <w:r w:rsidR="00F44E69">
        <w:t>Major</w:t>
      </w:r>
      <w:r>
        <w:t xml:space="preserve"> considerations are:</w:t>
      </w:r>
    </w:p>
    <w:p w14:paraId="28E3E714" w14:textId="2BAAD16A" w:rsidR="00F44E69" w:rsidRDefault="00853037" w:rsidP="00F44E69">
      <w:pPr>
        <w:pStyle w:val="ListParagraph"/>
        <w:numPr>
          <w:ilvl w:val="0"/>
          <w:numId w:val="4"/>
        </w:numPr>
      </w:pPr>
      <w:r w:rsidRPr="00F44E69">
        <w:rPr>
          <w:b/>
          <w:bCs/>
        </w:rPr>
        <w:t>Square footage of space required.</w:t>
      </w:r>
      <w:r>
        <w:t xml:space="preserve">  </w:t>
      </w:r>
      <w:r w:rsidR="00F44E69">
        <w:t>H</w:t>
      </w:r>
      <w:r>
        <w:t xml:space="preserve">ardwoods generally require 2-4 times the growing area for a given number of plants, as compared to conifers.  </w:t>
      </w:r>
      <w:r w:rsidR="00F44E69">
        <w:t>This is due to their spreading canopies and aggressive root systems</w:t>
      </w:r>
      <w:r w:rsidR="002C6056">
        <w:t xml:space="preserve"> which require larger containers.</w:t>
      </w:r>
    </w:p>
    <w:p w14:paraId="04EA69F9" w14:textId="471A0A3C" w:rsidR="00F44E69" w:rsidRDefault="00F44E69" w:rsidP="00F44E69">
      <w:pPr>
        <w:pStyle w:val="ListParagraph"/>
        <w:numPr>
          <w:ilvl w:val="0"/>
          <w:numId w:val="4"/>
        </w:numPr>
      </w:pPr>
      <w:r w:rsidRPr="00955D7D">
        <w:rPr>
          <w:b/>
          <w:bCs/>
        </w:rPr>
        <w:t>Irrigation costs</w:t>
      </w:r>
      <w:r>
        <w:rPr>
          <w:b/>
          <w:bCs/>
        </w:rPr>
        <w:t xml:space="preserve">. </w:t>
      </w:r>
      <w:r>
        <w:t xml:space="preserve"> The automated</w:t>
      </w:r>
      <w:r w:rsidR="002C6056">
        <w:t>, efficient</w:t>
      </w:r>
      <w:r>
        <w:t xml:space="preserve"> </w:t>
      </w:r>
      <w:r w:rsidR="002C6056">
        <w:t xml:space="preserve">overhead </w:t>
      </w:r>
      <w:r>
        <w:t xml:space="preserve">irrigation boom system used for conifer production is not compatible with hardwood </w:t>
      </w:r>
      <w:r w:rsidR="002C6056">
        <w:t xml:space="preserve">production.  Hand </w:t>
      </w:r>
      <w:r w:rsidR="002C6056">
        <w:lastRenderedPageBreak/>
        <w:t xml:space="preserve">watering with a wand is required for hardwoods, to deliver water under the spreading foliage, as well as to accommodate </w:t>
      </w:r>
      <w:r w:rsidR="00000314">
        <w:t>differing irrigation frequencies</w:t>
      </w:r>
      <w:r w:rsidR="00424344">
        <w:t>, depending on</w:t>
      </w:r>
      <w:r w:rsidR="00000314">
        <w:t xml:space="preserve"> species.  </w:t>
      </w:r>
      <w:r w:rsidR="00424344">
        <w:t>This is very time and labor intensive</w:t>
      </w:r>
      <w:r w:rsidR="00000314">
        <w:t>.</w:t>
      </w:r>
    </w:p>
    <w:p w14:paraId="00D6D398" w14:textId="138B8463" w:rsidR="00000314" w:rsidRPr="00424344" w:rsidRDefault="00000314" w:rsidP="00424344">
      <w:pPr>
        <w:pStyle w:val="ListParagraph"/>
        <w:numPr>
          <w:ilvl w:val="0"/>
          <w:numId w:val="4"/>
        </w:numPr>
        <w:rPr>
          <w:rFonts w:cs="Arial"/>
        </w:rPr>
      </w:pPr>
      <w:r w:rsidRPr="00000314">
        <w:rPr>
          <w:b/>
          <w:bCs/>
        </w:rPr>
        <w:t>Pest managemen</w:t>
      </w:r>
      <w:r>
        <w:rPr>
          <w:b/>
          <w:bCs/>
        </w:rPr>
        <w:t xml:space="preserve">t.  </w:t>
      </w:r>
      <w:r>
        <w:t>Hardwood</w:t>
      </w:r>
      <w:r w:rsidR="00424344">
        <w:t xml:space="preserve"> </w:t>
      </w:r>
      <w:r>
        <w:t>s</w:t>
      </w:r>
      <w:r w:rsidR="00424344">
        <w:t xml:space="preserve">eedlings experience many common </w:t>
      </w:r>
      <w:r>
        <w:t xml:space="preserve">disease and insect issues, requiring </w:t>
      </w:r>
      <w:r w:rsidR="00424344">
        <w:t>a higher level of</w:t>
      </w:r>
      <w:r>
        <w:t xml:space="preserve"> pest control activities</w:t>
      </w:r>
      <w:r w:rsidR="00424344">
        <w:t xml:space="preserve"> than conifers</w:t>
      </w:r>
      <w:r>
        <w:t xml:space="preserve">.  Diseases such as leaf spot, twig die-back and powdery mildew are common occurrences, as are insect issues with aphids, whiteflies, mites, and fungus gnats.  </w:t>
      </w:r>
      <w:r w:rsidR="00424344">
        <w:t>Aside</w:t>
      </w:r>
      <w:r>
        <w:t xml:space="preserve"> from the direct damage insects do, they are often vectors for disease organisms</w:t>
      </w:r>
      <w:r w:rsidR="00424344">
        <w:t>.</w:t>
      </w:r>
    </w:p>
    <w:p w14:paraId="65B2AAF0" w14:textId="4479369B" w:rsidR="00853037" w:rsidRDefault="00853037" w:rsidP="005977A3">
      <w:pPr>
        <w:pStyle w:val="ListParagraph"/>
        <w:numPr>
          <w:ilvl w:val="0"/>
          <w:numId w:val="4"/>
        </w:numPr>
      </w:pPr>
      <w:r w:rsidRPr="00F44E69">
        <w:rPr>
          <w:b/>
          <w:bCs/>
        </w:rPr>
        <w:t xml:space="preserve">Economy of scale.  </w:t>
      </w:r>
      <w:r w:rsidR="00071F05" w:rsidRPr="00071F05">
        <w:t>Simply put,</w:t>
      </w:r>
      <w:r w:rsidR="00071F05">
        <w:rPr>
          <w:b/>
          <w:bCs/>
        </w:rPr>
        <w:t xml:space="preserve"> </w:t>
      </w:r>
      <w:r w:rsidR="00071F05">
        <w:t>the larger the quantity of an item produced, the lower the associated unit cost of production.  This is important in two ways.  First, when comparing our own costs of production between conifers and hardwoods.  Second, when comparing our prices to those charged by private nurseries.</w:t>
      </w:r>
      <w:r w:rsidR="005977A3">
        <w:t xml:space="preserve">  </w:t>
      </w:r>
      <w:r>
        <w:t>Hardwoods grown in private nurseries are generally produced and sold in small quantities as compared to reforestation/restoration nurseries.  A smaller scale of production necessarily results in higher production costs per unit, resulting in a higher purchase price for the customer.</w:t>
      </w:r>
    </w:p>
    <w:p w14:paraId="2C339D90" w14:textId="77777777" w:rsidR="005977A3" w:rsidRDefault="005977A3" w:rsidP="005977A3"/>
    <w:p w14:paraId="3375CE01" w14:textId="63DB2F22" w:rsidR="005977A3" w:rsidRDefault="005977A3" w:rsidP="005977A3">
      <w:pPr>
        <w:rPr>
          <w:b/>
          <w:bCs/>
          <w:u w:val="single"/>
        </w:rPr>
      </w:pPr>
      <w:r>
        <w:rPr>
          <w:b/>
          <w:bCs/>
          <w:u w:val="single"/>
        </w:rPr>
        <w:t>Methods of Price Analysis</w:t>
      </w:r>
    </w:p>
    <w:p w14:paraId="65D6E8E2" w14:textId="3921B781" w:rsidR="005977A3" w:rsidRDefault="005977A3" w:rsidP="005977A3">
      <w:r>
        <w:t xml:space="preserve">In determining appropriate prices for hardwood seedlings grown at LAMRC, two strategies were considered and analyzed. </w:t>
      </w:r>
    </w:p>
    <w:p w14:paraId="07009BE4" w14:textId="0A799070" w:rsidR="005977A3" w:rsidRDefault="005977A3" w:rsidP="005977A3">
      <w:pPr>
        <w:pStyle w:val="ListParagraph"/>
        <w:numPr>
          <w:ilvl w:val="0"/>
          <w:numId w:val="5"/>
        </w:numPr>
        <w:spacing w:after="160" w:line="259" w:lineRule="auto"/>
      </w:pPr>
      <w:r>
        <w:t xml:space="preserve">Use </w:t>
      </w:r>
      <w:r w:rsidR="00922787">
        <w:t>historical data from</w:t>
      </w:r>
      <w:r>
        <w:t xml:space="preserve"> LAMRC hardwood seedling sales between 1989 and 1999 and inflate those figures to 2024 dollars. Prices charged in those years were based on this facility’s specific costs of production</w:t>
      </w:r>
      <w:r w:rsidR="00922787">
        <w:t xml:space="preserve"> and were approved by the Board of Forestry at that time.</w:t>
      </w:r>
      <w:r>
        <w:t xml:space="preserve"> </w:t>
      </w:r>
      <w:r w:rsidR="00922787">
        <w:t xml:space="preserve"> </w:t>
      </w:r>
      <w:r w:rsidR="00922787" w:rsidRPr="005977A3">
        <w:t>See attached spreadsheet</w:t>
      </w:r>
      <w:r w:rsidR="00922787">
        <w:t xml:space="preserve"> tab,</w:t>
      </w:r>
      <w:r>
        <w:t xml:space="preserve"> “</w:t>
      </w:r>
      <w:r>
        <w:rPr>
          <w:u w:val="single"/>
        </w:rPr>
        <w:t>Old Prices Adjusted to 2024 $$</w:t>
      </w:r>
      <w:r>
        <w:t>”.</w:t>
      </w:r>
    </w:p>
    <w:p w14:paraId="5B529365" w14:textId="5C5BB240" w:rsidR="00922787" w:rsidRDefault="00922787" w:rsidP="00922787">
      <w:pPr>
        <w:pStyle w:val="ListParagraph"/>
        <w:numPr>
          <w:ilvl w:val="0"/>
          <w:numId w:val="5"/>
        </w:numPr>
      </w:pPr>
      <w:r w:rsidRPr="005977A3">
        <w:t>Survey prices charged by private nurseries selling native plants of California, then price ours at the upper 25%, to avoid the perception of unfair competition.  To this end, a price survey was conducted of approximately 70 private nurseries in California in spring, 2024.</w:t>
      </w:r>
      <w:r>
        <w:t xml:space="preserve">  See the </w:t>
      </w:r>
      <w:r w:rsidRPr="005977A3">
        <w:t>“</w:t>
      </w:r>
      <w:r w:rsidRPr="005977A3">
        <w:rPr>
          <w:u w:val="single"/>
        </w:rPr>
        <w:t>Private Nursery Price Survey</w:t>
      </w:r>
      <w:r w:rsidRPr="005977A3">
        <w:t>” and “</w:t>
      </w:r>
      <w:r w:rsidRPr="00231D35">
        <w:rPr>
          <w:u w:val="single"/>
        </w:rPr>
        <w:t>Upper</w:t>
      </w:r>
      <w:r>
        <w:t xml:space="preserve"> </w:t>
      </w:r>
      <w:r w:rsidRPr="005977A3">
        <w:rPr>
          <w:u w:val="single"/>
        </w:rPr>
        <w:t>25% Calculations</w:t>
      </w:r>
      <w:r w:rsidRPr="005977A3">
        <w:t>”</w:t>
      </w:r>
      <w:r>
        <w:t xml:space="preserve"> tabs.</w:t>
      </w:r>
    </w:p>
    <w:p w14:paraId="4CAAE46A" w14:textId="77777777" w:rsidR="00922787" w:rsidRDefault="00922787" w:rsidP="00922787"/>
    <w:p w14:paraId="770D78A0" w14:textId="67EC9D70" w:rsidR="00922787" w:rsidRDefault="00922787" w:rsidP="00922787">
      <w:pPr>
        <w:rPr>
          <w:b/>
          <w:bCs/>
          <w:u w:val="single"/>
        </w:rPr>
      </w:pPr>
      <w:r>
        <w:rPr>
          <w:b/>
          <w:bCs/>
          <w:u w:val="single"/>
        </w:rPr>
        <w:t>Remarks</w:t>
      </w:r>
    </w:p>
    <w:p w14:paraId="3408A270" w14:textId="77777777" w:rsidR="006343F2" w:rsidRDefault="00922787" w:rsidP="00922787">
      <w:r w:rsidRPr="00922787">
        <w:t>Of the approx. 70 private nurseries surveyed, only 11 are producing similar species in similar containers as LAMRC this year.  The remaining nurseries are growing plants in 1-gallon pots or larger only, such as for landscaping.</w:t>
      </w:r>
    </w:p>
    <w:p w14:paraId="317C91D9" w14:textId="574959D8" w:rsidR="00922787" w:rsidRPr="00922787" w:rsidRDefault="00922787" w:rsidP="00922787">
      <w:r w:rsidRPr="00922787">
        <w:t xml:space="preserve">  </w:t>
      </w:r>
    </w:p>
    <w:p w14:paraId="12F3F233" w14:textId="18935904" w:rsidR="00922787" w:rsidRPr="00922787" w:rsidRDefault="00922787" w:rsidP="00922787">
      <w:r w:rsidRPr="00922787">
        <w:t xml:space="preserve">Private nurseries generally resemble “retail” stores, selling individual plants or in small quantities, as their customers are generally “landscaping” on a small piece of property.  </w:t>
      </w:r>
      <w:r w:rsidR="006343F2">
        <w:t>They</w:t>
      </w:r>
      <w:r w:rsidRPr="00922787">
        <w:t xml:space="preserve"> generally produce</w:t>
      </w:r>
      <w:r w:rsidR="006343F2">
        <w:t xml:space="preserve"> seedlings of</w:t>
      </w:r>
      <w:r w:rsidRPr="00922787">
        <w:t xml:space="preserve"> forest species in relatively small quantities, reflecting a smaller economy of scale and necessitating a higher cost to their customers.</w:t>
      </w:r>
    </w:p>
    <w:p w14:paraId="339F4321" w14:textId="77777777" w:rsidR="00922787" w:rsidRPr="00922787" w:rsidRDefault="00922787" w:rsidP="00922787"/>
    <w:p w14:paraId="7FDF1017" w14:textId="30790838" w:rsidR="00922787" w:rsidRDefault="00922787" w:rsidP="00922787">
      <w:r w:rsidRPr="00922787">
        <w:t xml:space="preserve">Conversely, LAMRC resembles a “wholesale” outlet.  Customers at LAMRC are “restoring” native plant communities, purchasing large numbers of plants at a time.  With a much larger economy of scale at LAMRC, our seedlings are less costly to produce, therefore relatively lower prices should be established for our customers.  </w:t>
      </w:r>
    </w:p>
    <w:p w14:paraId="4106A680" w14:textId="77777777" w:rsidR="006343F2" w:rsidRPr="00922787" w:rsidRDefault="006343F2" w:rsidP="00922787"/>
    <w:p w14:paraId="49B1E869" w14:textId="77777777" w:rsidR="00922787" w:rsidRDefault="00922787" w:rsidP="00922787"/>
    <w:p w14:paraId="59F2544B" w14:textId="4098AB32" w:rsidR="006343F2" w:rsidRPr="006343F2" w:rsidRDefault="006343F2" w:rsidP="00922787">
      <w:pPr>
        <w:rPr>
          <w:b/>
          <w:bCs/>
          <w:u w:val="single"/>
        </w:rPr>
      </w:pPr>
      <w:r w:rsidRPr="006343F2">
        <w:rPr>
          <w:b/>
          <w:bCs/>
          <w:u w:val="single"/>
        </w:rPr>
        <w:lastRenderedPageBreak/>
        <w:t>Conclusion</w:t>
      </w:r>
      <w:r>
        <w:rPr>
          <w:b/>
          <w:bCs/>
          <w:u w:val="single"/>
        </w:rPr>
        <w:t>s</w:t>
      </w:r>
    </w:p>
    <w:p w14:paraId="0A846277" w14:textId="78B27DA3" w:rsidR="006343F2" w:rsidRDefault="006343F2" w:rsidP="006343F2">
      <w:r w:rsidRPr="006343F2">
        <w:t>Inflating previously approved prices to today’s dollars (method of price analysis #</w:t>
      </w:r>
      <w:r>
        <w:t>1</w:t>
      </w:r>
      <w:r w:rsidRPr="006343F2">
        <w:t>), is the more appropriate method to use in determining new prices for hardwood seedlings.  LAMRC, has a larger economy of scale, a different customer base and a different mission than most private nurseries.  If required to charge similarly high prices as private nurseries do for landscaping material, our plants would simply not sell.</w:t>
      </w:r>
      <w:r w:rsidRPr="006343F2">
        <w:tab/>
      </w:r>
    </w:p>
    <w:p w14:paraId="37434333" w14:textId="7D6B745D" w:rsidR="00E9372D" w:rsidRDefault="00E9372D" w:rsidP="006343F2"/>
    <w:p w14:paraId="4E63580D" w14:textId="5CAD13C8" w:rsidR="00A87873" w:rsidRDefault="00A87873" w:rsidP="006343F2">
      <w:r>
        <w:t xml:space="preserve">The following table summarizes the results our analysis.  </w:t>
      </w:r>
      <w:r w:rsidR="00621496">
        <w:t>We propose adopting the prices determined by method of analysis #1, adjust previous prices for inflation.</w:t>
      </w:r>
    </w:p>
    <w:p w14:paraId="0D5A8816" w14:textId="77777777" w:rsidR="00621496" w:rsidRDefault="00621496" w:rsidP="006343F2"/>
    <w:p w14:paraId="1C9B1D5E" w14:textId="77777777" w:rsidR="00621496" w:rsidRDefault="00621496" w:rsidP="00621496">
      <w:pPr>
        <w:jc w:val="center"/>
      </w:pPr>
    </w:p>
    <w:p w14:paraId="0E9D2B1F" w14:textId="0C86DEA9" w:rsidR="00621496" w:rsidRPr="006343F2" w:rsidRDefault="00621496" w:rsidP="00621496">
      <w:pPr>
        <w:jc w:val="center"/>
      </w:pPr>
      <w:r w:rsidRPr="00621496">
        <w:rPr>
          <w:noProof/>
        </w:rPr>
        <w:drawing>
          <wp:inline distT="0" distB="0" distL="0" distR="0" wp14:anchorId="55D18BE9" wp14:editId="2C553417">
            <wp:extent cx="4403725" cy="2213610"/>
            <wp:effectExtent l="0" t="0" r="0" b="0"/>
            <wp:docPr id="5357417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741782"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3725" cy="2213610"/>
                    </a:xfrm>
                    <a:prstGeom prst="rect">
                      <a:avLst/>
                    </a:prstGeom>
                    <a:noFill/>
                    <a:ln>
                      <a:noFill/>
                    </a:ln>
                  </pic:spPr>
                </pic:pic>
              </a:graphicData>
            </a:graphic>
          </wp:inline>
        </w:drawing>
      </w:r>
    </w:p>
    <w:p w14:paraId="6E3C5679" w14:textId="4A32BE20" w:rsidR="00922787" w:rsidRDefault="00922787" w:rsidP="00922787"/>
    <w:p w14:paraId="24946863" w14:textId="640D6B34" w:rsidR="00BA7913" w:rsidRPr="005977A3" w:rsidRDefault="00FA4711" w:rsidP="00922787">
      <w:r>
        <w:object w:dxaOrig="1539" w:dyaOrig="997" w14:anchorId="304DA6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11" o:title=""/>
          </v:shape>
          <o:OLEObject Type="Embed" ProgID="Excel.Sheet.12" ShapeID="_x0000_i1025" DrawAspect="Icon" ObjectID="_1788084013" r:id="rId12"/>
        </w:object>
      </w:r>
    </w:p>
    <w:sectPr w:rsidR="00BA7913" w:rsidRPr="005977A3" w:rsidSect="002C4679">
      <w:footerReference w:type="default" r:id="rId13"/>
      <w:type w:val="continuous"/>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81C0" w14:textId="77777777" w:rsidR="001541E5" w:rsidRDefault="001541E5">
      <w:pPr>
        <w:spacing w:line="240" w:lineRule="auto"/>
      </w:pPr>
      <w:r>
        <w:separator/>
      </w:r>
    </w:p>
  </w:endnote>
  <w:endnote w:type="continuationSeparator" w:id="0">
    <w:p w14:paraId="57985E66" w14:textId="77777777" w:rsidR="001541E5" w:rsidRDefault="001541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98130" w14:textId="77777777" w:rsidR="007A3823" w:rsidRDefault="00C17F20" w:rsidP="00ED0662">
    <w:pPr>
      <w:pStyle w:val="Footer"/>
      <w:jc w:val="center"/>
      <w:rPr>
        <w:rFonts w:eastAsia="Calibri"/>
        <w:i/>
        <w:sz w:val="16"/>
      </w:rPr>
    </w:pPr>
    <w:r w:rsidRPr="00B75336">
      <w:rPr>
        <w:rFonts w:eastAsia="Calibri"/>
        <w:i/>
        <w:sz w:val="16"/>
      </w:rPr>
      <w:t>“The Department of Forestry and Fire Protection serves and safeguards the people and protects the property and resources of California.”</w:t>
    </w:r>
  </w:p>
  <w:p w14:paraId="318DF611" w14:textId="2D298161" w:rsidR="007A3823" w:rsidRPr="008D431E" w:rsidRDefault="00C17F20" w:rsidP="00ED0662">
    <w:pPr>
      <w:pStyle w:val="Footer"/>
      <w:jc w:val="center"/>
      <w:rPr>
        <w:rFonts w:eastAsia="Calibri"/>
        <w:sz w:val="16"/>
      </w:rPr>
    </w:pPr>
    <w:r>
      <w:rPr>
        <w:rFonts w:eastAsia="Calibri"/>
        <w:i/>
        <w:sz w:val="16"/>
      </w:rPr>
      <w:tab/>
    </w:r>
    <w:r>
      <w:rPr>
        <w:rFonts w:eastAsia="Calibri"/>
        <w:i/>
        <w:sz w:val="16"/>
      </w:rPr>
      <w:tab/>
    </w:r>
    <w:r w:rsidR="00966B0E">
      <w:rPr>
        <w:rFonts w:eastAsia="Calibri"/>
        <w:sz w:val="16"/>
      </w:rPr>
      <w:t>JOINT</w:t>
    </w:r>
    <w:r w:rsidRPr="008D431E">
      <w:rPr>
        <w:rFonts w:eastAsia="Calibri"/>
        <w:sz w:val="16"/>
      </w:rPr>
      <w:t xml:space="preserve"> </w:t>
    </w:r>
    <w:r w:rsidR="00966B0E">
      <w:rPr>
        <w:rFonts w:eastAsia="Calibri"/>
        <w:sz w:val="16"/>
      </w:rPr>
      <w:t>2</w:t>
    </w:r>
    <w:r w:rsidRPr="008D431E">
      <w:rPr>
        <w:rFonts w:eastAsia="Calibri"/>
        <w:sz w:val="16"/>
      </w:rP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116FC" w14:textId="77777777" w:rsidR="001541E5" w:rsidRDefault="001541E5">
      <w:pPr>
        <w:spacing w:line="240" w:lineRule="auto"/>
      </w:pPr>
      <w:r>
        <w:separator/>
      </w:r>
    </w:p>
  </w:footnote>
  <w:footnote w:type="continuationSeparator" w:id="0">
    <w:p w14:paraId="0D5671EE" w14:textId="77777777" w:rsidR="001541E5" w:rsidRDefault="001541E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26BBA"/>
    <w:multiLevelType w:val="hybridMultilevel"/>
    <w:tmpl w:val="61B82EB4"/>
    <w:lvl w:ilvl="0" w:tplc="1FC87DF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0A25C9"/>
    <w:multiLevelType w:val="hybridMultilevel"/>
    <w:tmpl w:val="90FC7E32"/>
    <w:lvl w:ilvl="0" w:tplc="CFF2ED20">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BD36E0"/>
    <w:multiLevelType w:val="hybridMultilevel"/>
    <w:tmpl w:val="8A4AD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B80FE7"/>
    <w:multiLevelType w:val="hybridMultilevel"/>
    <w:tmpl w:val="A9A0C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197C95"/>
    <w:multiLevelType w:val="hybridMultilevel"/>
    <w:tmpl w:val="31A845F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327AA1"/>
    <w:multiLevelType w:val="hybridMultilevel"/>
    <w:tmpl w:val="88D244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2731927">
    <w:abstractNumId w:val="2"/>
  </w:num>
  <w:num w:numId="2" w16cid:durableId="661930446">
    <w:abstractNumId w:val="3"/>
  </w:num>
  <w:num w:numId="3" w16cid:durableId="538710861">
    <w:abstractNumId w:val="4"/>
  </w:num>
  <w:num w:numId="4" w16cid:durableId="780613097">
    <w:abstractNumId w:val="1"/>
  </w:num>
  <w:num w:numId="5" w16cid:durableId="1301421522">
    <w:abstractNumId w:val="5"/>
  </w:num>
  <w:num w:numId="6" w16cid:durableId="1471824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4i4VVnT4XKkTTQfAB8uP/dEH81tUA0QTO4CXhhfmuA5R8e1qM3X89JKAM4nE513aL+e6VfLZocaN9kFHY2XtPQ==" w:salt="ol00WN2UgM10EQzYkWNd3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D59"/>
    <w:rsid w:val="00000314"/>
    <w:rsid w:val="00012C0C"/>
    <w:rsid w:val="000156DC"/>
    <w:rsid w:val="00022E63"/>
    <w:rsid w:val="000276F5"/>
    <w:rsid w:val="00041434"/>
    <w:rsid w:val="00041C85"/>
    <w:rsid w:val="00044E22"/>
    <w:rsid w:val="00065BCD"/>
    <w:rsid w:val="00071F05"/>
    <w:rsid w:val="000C3FD9"/>
    <w:rsid w:val="000E021E"/>
    <w:rsid w:val="000E23F5"/>
    <w:rsid w:val="0014075E"/>
    <w:rsid w:val="001505F8"/>
    <w:rsid w:val="001541E5"/>
    <w:rsid w:val="001721F0"/>
    <w:rsid w:val="00174A49"/>
    <w:rsid w:val="001778B4"/>
    <w:rsid w:val="001859D3"/>
    <w:rsid w:val="001A4225"/>
    <w:rsid w:val="001B24BC"/>
    <w:rsid w:val="001B5430"/>
    <w:rsid w:val="001D1FA9"/>
    <w:rsid w:val="001E1E0B"/>
    <w:rsid w:val="002050B2"/>
    <w:rsid w:val="002261D6"/>
    <w:rsid w:val="00231D35"/>
    <w:rsid w:val="002550F7"/>
    <w:rsid w:val="00266779"/>
    <w:rsid w:val="00286680"/>
    <w:rsid w:val="00286976"/>
    <w:rsid w:val="0029751F"/>
    <w:rsid w:val="002A30B0"/>
    <w:rsid w:val="002B5435"/>
    <w:rsid w:val="002B7F09"/>
    <w:rsid w:val="002C4679"/>
    <w:rsid w:val="002C6056"/>
    <w:rsid w:val="002D315D"/>
    <w:rsid w:val="002D3395"/>
    <w:rsid w:val="002D6B07"/>
    <w:rsid w:val="002E62AF"/>
    <w:rsid w:val="002F1C2D"/>
    <w:rsid w:val="002F638A"/>
    <w:rsid w:val="002F7D76"/>
    <w:rsid w:val="003070B5"/>
    <w:rsid w:val="0030732D"/>
    <w:rsid w:val="003159BD"/>
    <w:rsid w:val="00324904"/>
    <w:rsid w:val="003351FE"/>
    <w:rsid w:val="00341964"/>
    <w:rsid w:val="00391479"/>
    <w:rsid w:val="00393D29"/>
    <w:rsid w:val="003B41F6"/>
    <w:rsid w:val="003E2DF2"/>
    <w:rsid w:val="003E4591"/>
    <w:rsid w:val="003E5DF3"/>
    <w:rsid w:val="00402F4C"/>
    <w:rsid w:val="0041236B"/>
    <w:rsid w:val="004154EE"/>
    <w:rsid w:val="00424344"/>
    <w:rsid w:val="00430BDC"/>
    <w:rsid w:val="00442073"/>
    <w:rsid w:val="00453182"/>
    <w:rsid w:val="00454F00"/>
    <w:rsid w:val="00483288"/>
    <w:rsid w:val="004D00AD"/>
    <w:rsid w:val="004D58DE"/>
    <w:rsid w:val="004E29AA"/>
    <w:rsid w:val="00521954"/>
    <w:rsid w:val="00536596"/>
    <w:rsid w:val="005448E5"/>
    <w:rsid w:val="0056523C"/>
    <w:rsid w:val="00574936"/>
    <w:rsid w:val="005773FC"/>
    <w:rsid w:val="0058358B"/>
    <w:rsid w:val="00587BA0"/>
    <w:rsid w:val="005977A3"/>
    <w:rsid w:val="005A3022"/>
    <w:rsid w:val="005D099A"/>
    <w:rsid w:val="005D57B5"/>
    <w:rsid w:val="005F17C7"/>
    <w:rsid w:val="005F2D59"/>
    <w:rsid w:val="00603ACB"/>
    <w:rsid w:val="00607F73"/>
    <w:rsid w:val="00614A9C"/>
    <w:rsid w:val="00620402"/>
    <w:rsid w:val="00621496"/>
    <w:rsid w:val="006343F2"/>
    <w:rsid w:val="00635CE0"/>
    <w:rsid w:val="00636A2C"/>
    <w:rsid w:val="00640084"/>
    <w:rsid w:val="0065168C"/>
    <w:rsid w:val="00653D71"/>
    <w:rsid w:val="00676993"/>
    <w:rsid w:val="00683EAF"/>
    <w:rsid w:val="006918F1"/>
    <w:rsid w:val="00696413"/>
    <w:rsid w:val="006B6DB7"/>
    <w:rsid w:val="006E1D84"/>
    <w:rsid w:val="007123A0"/>
    <w:rsid w:val="0072152C"/>
    <w:rsid w:val="00741488"/>
    <w:rsid w:val="007678FC"/>
    <w:rsid w:val="007754BA"/>
    <w:rsid w:val="007A3823"/>
    <w:rsid w:val="007A7ABC"/>
    <w:rsid w:val="007C318D"/>
    <w:rsid w:val="007F2AA9"/>
    <w:rsid w:val="007F4C63"/>
    <w:rsid w:val="00815CE5"/>
    <w:rsid w:val="00824333"/>
    <w:rsid w:val="00836D4C"/>
    <w:rsid w:val="00853037"/>
    <w:rsid w:val="008C23D3"/>
    <w:rsid w:val="008D486C"/>
    <w:rsid w:val="008E1B2F"/>
    <w:rsid w:val="0090029A"/>
    <w:rsid w:val="00922787"/>
    <w:rsid w:val="009405B8"/>
    <w:rsid w:val="00966B0E"/>
    <w:rsid w:val="00975891"/>
    <w:rsid w:val="0098699C"/>
    <w:rsid w:val="00992B80"/>
    <w:rsid w:val="0099404C"/>
    <w:rsid w:val="009B6475"/>
    <w:rsid w:val="009D15CD"/>
    <w:rsid w:val="009E2EF1"/>
    <w:rsid w:val="009E499A"/>
    <w:rsid w:val="00A00397"/>
    <w:rsid w:val="00A36253"/>
    <w:rsid w:val="00A534E8"/>
    <w:rsid w:val="00A6312D"/>
    <w:rsid w:val="00A87873"/>
    <w:rsid w:val="00A95DD6"/>
    <w:rsid w:val="00AE48FD"/>
    <w:rsid w:val="00B123EE"/>
    <w:rsid w:val="00B26B09"/>
    <w:rsid w:val="00B27192"/>
    <w:rsid w:val="00B419F5"/>
    <w:rsid w:val="00B54A02"/>
    <w:rsid w:val="00B621BE"/>
    <w:rsid w:val="00B67990"/>
    <w:rsid w:val="00B732DE"/>
    <w:rsid w:val="00B83079"/>
    <w:rsid w:val="00B913C5"/>
    <w:rsid w:val="00BA7913"/>
    <w:rsid w:val="00BC52E0"/>
    <w:rsid w:val="00BE732B"/>
    <w:rsid w:val="00C17F20"/>
    <w:rsid w:val="00C24CB3"/>
    <w:rsid w:val="00C267FF"/>
    <w:rsid w:val="00C56E90"/>
    <w:rsid w:val="00C659A5"/>
    <w:rsid w:val="00C84CA9"/>
    <w:rsid w:val="00CA542B"/>
    <w:rsid w:val="00CB4A5C"/>
    <w:rsid w:val="00CD11EA"/>
    <w:rsid w:val="00CD317B"/>
    <w:rsid w:val="00CD4E9E"/>
    <w:rsid w:val="00CE7D2F"/>
    <w:rsid w:val="00CF5E27"/>
    <w:rsid w:val="00D16C93"/>
    <w:rsid w:val="00D32C6B"/>
    <w:rsid w:val="00D403C0"/>
    <w:rsid w:val="00D4345B"/>
    <w:rsid w:val="00D533E2"/>
    <w:rsid w:val="00DA66E0"/>
    <w:rsid w:val="00DA785C"/>
    <w:rsid w:val="00DB2CEF"/>
    <w:rsid w:val="00DF1620"/>
    <w:rsid w:val="00E06761"/>
    <w:rsid w:val="00E14832"/>
    <w:rsid w:val="00E25700"/>
    <w:rsid w:val="00E42229"/>
    <w:rsid w:val="00E44242"/>
    <w:rsid w:val="00E50181"/>
    <w:rsid w:val="00E616C2"/>
    <w:rsid w:val="00E86D0D"/>
    <w:rsid w:val="00E9372D"/>
    <w:rsid w:val="00EB5F9B"/>
    <w:rsid w:val="00EC2CD0"/>
    <w:rsid w:val="00EE622F"/>
    <w:rsid w:val="00EF56B8"/>
    <w:rsid w:val="00F01121"/>
    <w:rsid w:val="00F31622"/>
    <w:rsid w:val="00F44E69"/>
    <w:rsid w:val="00F45029"/>
    <w:rsid w:val="00FA4711"/>
    <w:rsid w:val="00FB15FD"/>
    <w:rsid w:val="00FB19CB"/>
    <w:rsid w:val="00FC2993"/>
    <w:rsid w:val="00FC2D47"/>
    <w:rsid w:val="00FD69B7"/>
    <w:rsid w:val="00FE6122"/>
    <w:rsid w:val="00FF0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14:docId w14:val="34720481"/>
  <w15:chartTrackingRefBased/>
  <w15:docId w15:val="{6D99ACAA-CED7-4A7C-9C37-019ED8FDA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079"/>
    <w:pPr>
      <w:spacing w:after="0" w:line="240" w:lineRule="atLeast"/>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F2D59"/>
    <w:pPr>
      <w:tabs>
        <w:tab w:val="center" w:pos="4320"/>
        <w:tab w:val="right" w:pos="8640"/>
      </w:tabs>
    </w:pPr>
  </w:style>
  <w:style w:type="character" w:customStyle="1" w:styleId="FooterChar">
    <w:name w:val="Footer Char"/>
    <w:basedOn w:val="DefaultParagraphFont"/>
    <w:link w:val="Footer"/>
    <w:uiPriority w:val="99"/>
    <w:rsid w:val="005F2D59"/>
    <w:rPr>
      <w:rFonts w:ascii="Arial" w:eastAsia="Times New Roman" w:hAnsi="Arial" w:cs="Times New Roman"/>
      <w:sz w:val="24"/>
      <w:szCs w:val="20"/>
    </w:rPr>
  </w:style>
  <w:style w:type="table" w:styleId="TableGrid">
    <w:name w:val="Table Grid"/>
    <w:basedOn w:val="TableNormal"/>
    <w:rsid w:val="005F2D5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13C5"/>
    <w:pPr>
      <w:spacing w:after="0" w:line="240" w:lineRule="auto"/>
    </w:pPr>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2D315D"/>
    <w:rPr>
      <w:sz w:val="16"/>
      <w:szCs w:val="16"/>
    </w:rPr>
  </w:style>
  <w:style w:type="paragraph" w:styleId="CommentText">
    <w:name w:val="annotation text"/>
    <w:basedOn w:val="Normal"/>
    <w:link w:val="CommentTextChar"/>
    <w:uiPriority w:val="99"/>
    <w:unhideWhenUsed/>
    <w:rsid w:val="002D315D"/>
    <w:pPr>
      <w:spacing w:line="240" w:lineRule="auto"/>
    </w:pPr>
    <w:rPr>
      <w:sz w:val="20"/>
    </w:rPr>
  </w:style>
  <w:style w:type="character" w:customStyle="1" w:styleId="CommentTextChar">
    <w:name w:val="Comment Text Char"/>
    <w:basedOn w:val="DefaultParagraphFont"/>
    <w:link w:val="CommentText"/>
    <w:uiPriority w:val="99"/>
    <w:rsid w:val="002D315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D315D"/>
    <w:rPr>
      <w:b/>
      <w:bCs/>
    </w:rPr>
  </w:style>
  <w:style w:type="character" w:customStyle="1" w:styleId="CommentSubjectChar">
    <w:name w:val="Comment Subject Char"/>
    <w:basedOn w:val="CommentTextChar"/>
    <w:link w:val="CommentSubject"/>
    <w:uiPriority w:val="99"/>
    <w:semiHidden/>
    <w:rsid w:val="002D315D"/>
    <w:rPr>
      <w:rFonts w:ascii="Arial" w:eastAsia="Times New Roman" w:hAnsi="Arial" w:cs="Times New Roman"/>
      <w:b/>
      <w:bCs/>
      <w:sz w:val="20"/>
      <w:szCs w:val="20"/>
    </w:rPr>
  </w:style>
  <w:style w:type="character" w:styleId="Hyperlink">
    <w:name w:val="Hyperlink"/>
    <w:basedOn w:val="DefaultParagraphFont"/>
    <w:uiPriority w:val="99"/>
    <w:unhideWhenUsed/>
    <w:rsid w:val="00A36253"/>
    <w:rPr>
      <w:color w:val="0563C1" w:themeColor="hyperlink"/>
      <w:u w:val="single"/>
    </w:rPr>
  </w:style>
  <w:style w:type="character" w:styleId="UnresolvedMention">
    <w:name w:val="Unresolved Mention"/>
    <w:basedOn w:val="DefaultParagraphFont"/>
    <w:uiPriority w:val="99"/>
    <w:semiHidden/>
    <w:unhideWhenUsed/>
    <w:rsid w:val="00A36253"/>
    <w:rPr>
      <w:color w:val="605E5C"/>
      <w:shd w:val="clear" w:color="auto" w:fill="E1DFDD"/>
    </w:rPr>
  </w:style>
  <w:style w:type="paragraph" w:styleId="ListParagraph">
    <w:name w:val="List Paragraph"/>
    <w:basedOn w:val="Normal"/>
    <w:uiPriority w:val="34"/>
    <w:qFormat/>
    <w:rsid w:val="00815CE5"/>
    <w:pPr>
      <w:spacing w:line="0" w:lineRule="atLeast"/>
      <w:ind w:left="720"/>
      <w:contextualSpacing/>
    </w:pPr>
  </w:style>
  <w:style w:type="paragraph" w:styleId="FootnoteText">
    <w:name w:val="footnote text"/>
    <w:basedOn w:val="Normal"/>
    <w:link w:val="FootnoteTextChar"/>
    <w:rsid w:val="00C84CA9"/>
    <w:pPr>
      <w:spacing w:line="240" w:lineRule="auto"/>
    </w:pPr>
    <w:rPr>
      <w:sz w:val="20"/>
    </w:rPr>
  </w:style>
  <w:style w:type="character" w:customStyle="1" w:styleId="FootnoteTextChar">
    <w:name w:val="Footnote Text Char"/>
    <w:basedOn w:val="DefaultParagraphFont"/>
    <w:link w:val="FootnoteText"/>
    <w:rsid w:val="00C84CA9"/>
    <w:rPr>
      <w:rFonts w:ascii="Arial" w:eastAsia="Times New Roman" w:hAnsi="Arial" w:cs="Times New Roman"/>
      <w:sz w:val="20"/>
      <w:szCs w:val="20"/>
    </w:rPr>
  </w:style>
  <w:style w:type="character" w:styleId="FootnoteReference">
    <w:name w:val="footnote reference"/>
    <w:basedOn w:val="DefaultParagraphFont"/>
    <w:rsid w:val="00C84CA9"/>
    <w:rPr>
      <w:vertAlign w:val="superscript"/>
    </w:rPr>
  </w:style>
  <w:style w:type="paragraph" w:styleId="Header">
    <w:name w:val="header"/>
    <w:basedOn w:val="Normal"/>
    <w:link w:val="HeaderChar"/>
    <w:uiPriority w:val="99"/>
    <w:unhideWhenUsed/>
    <w:rsid w:val="00966B0E"/>
    <w:pPr>
      <w:tabs>
        <w:tab w:val="center" w:pos="4680"/>
        <w:tab w:val="right" w:pos="9360"/>
      </w:tabs>
      <w:spacing w:line="240" w:lineRule="auto"/>
    </w:pPr>
  </w:style>
  <w:style w:type="character" w:customStyle="1" w:styleId="HeaderChar">
    <w:name w:val="Header Char"/>
    <w:basedOn w:val="DefaultParagraphFont"/>
    <w:link w:val="Header"/>
    <w:uiPriority w:val="99"/>
    <w:rsid w:val="00966B0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42668">
      <w:bodyDiv w:val="1"/>
      <w:marLeft w:val="0"/>
      <w:marRight w:val="0"/>
      <w:marTop w:val="0"/>
      <w:marBottom w:val="0"/>
      <w:divBdr>
        <w:top w:val="none" w:sz="0" w:space="0" w:color="auto"/>
        <w:left w:val="none" w:sz="0" w:space="0" w:color="auto"/>
        <w:bottom w:val="none" w:sz="0" w:space="0" w:color="auto"/>
        <w:right w:val="none" w:sz="0" w:space="0" w:color="auto"/>
      </w:divBdr>
    </w:div>
    <w:div w:id="637223387">
      <w:bodyDiv w:val="1"/>
      <w:marLeft w:val="0"/>
      <w:marRight w:val="0"/>
      <w:marTop w:val="0"/>
      <w:marBottom w:val="0"/>
      <w:divBdr>
        <w:top w:val="none" w:sz="0" w:space="0" w:color="auto"/>
        <w:left w:val="none" w:sz="0" w:space="0" w:color="auto"/>
        <w:bottom w:val="none" w:sz="0" w:space="0" w:color="auto"/>
        <w:right w:val="none" w:sz="0" w:space="0" w:color="auto"/>
      </w:divBdr>
    </w:div>
    <w:div w:id="791705514">
      <w:bodyDiv w:val="1"/>
      <w:marLeft w:val="0"/>
      <w:marRight w:val="0"/>
      <w:marTop w:val="0"/>
      <w:marBottom w:val="0"/>
      <w:divBdr>
        <w:top w:val="none" w:sz="0" w:space="0" w:color="auto"/>
        <w:left w:val="none" w:sz="0" w:space="0" w:color="auto"/>
        <w:bottom w:val="none" w:sz="0" w:space="0" w:color="auto"/>
        <w:right w:val="none" w:sz="0" w:space="0" w:color="auto"/>
      </w:divBdr>
    </w:div>
    <w:div w:id="998994103">
      <w:bodyDiv w:val="1"/>
      <w:marLeft w:val="0"/>
      <w:marRight w:val="0"/>
      <w:marTop w:val="0"/>
      <w:marBottom w:val="0"/>
      <w:divBdr>
        <w:top w:val="none" w:sz="0" w:space="0" w:color="auto"/>
        <w:left w:val="none" w:sz="0" w:space="0" w:color="auto"/>
        <w:bottom w:val="none" w:sz="0" w:space="0" w:color="auto"/>
        <w:right w:val="none" w:sz="0" w:space="0" w:color="auto"/>
      </w:divBdr>
    </w:div>
    <w:div w:id="1197230669">
      <w:bodyDiv w:val="1"/>
      <w:marLeft w:val="0"/>
      <w:marRight w:val="0"/>
      <w:marTop w:val="0"/>
      <w:marBottom w:val="0"/>
      <w:divBdr>
        <w:top w:val="none" w:sz="0" w:space="0" w:color="auto"/>
        <w:left w:val="none" w:sz="0" w:space="0" w:color="auto"/>
        <w:bottom w:val="none" w:sz="0" w:space="0" w:color="auto"/>
        <w:right w:val="none" w:sz="0" w:space="0" w:color="auto"/>
      </w:divBdr>
    </w:div>
    <w:div w:id="1347098640">
      <w:bodyDiv w:val="1"/>
      <w:marLeft w:val="0"/>
      <w:marRight w:val="0"/>
      <w:marTop w:val="0"/>
      <w:marBottom w:val="0"/>
      <w:divBdr>
        <w:top w:val="none" w:sz="0" w:space="0" w:color="auto"/>
        <w:left w:val="none" w:sz="0" w:space="0" w:color="auto"/>
        <w:bottom w:val="none" w:sz="0" w:space="0" w:color="auto"/>
        <w:right w:val="none" w:sz="0" w:space="0" w:color="auto"/>
      </w:divBdr>
    </w:div>
    <w:div w:id="203680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nfo.legislature.ca.gov/faces/codes_displaySection.xhtml?sectionNum=4681.&amp;nodeTreePath=7.2.11.2&amp;lawCode=PR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leginfo.legislature.ca.gov/faces/codes_displaySection.xhtml?sectionNum=4683.&amp;nodeTreePath=7.2.11.2&amp;lawCode=PR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3A432-3FB8-430D-A1E9-FC7CDBC05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1071</Words>
  <Characters>6106</Characters>
  <Application>Microsoft Office Word</Application>
  <DocSecurity>8</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Dawson@CALFIRE</dc:creator>
  <cp:keywords/>
  <dc:description/>
  <cp:lastModifiedBy>Kemp, Mazonika@BOF</cp:lastModifiedBy>
  <cp:revision>3</cp:revision>
  <cp:lastPrinted>2024-07-23T20:18:00Z</cp:lastPrinted>
  <dcterms:created xsi:type="dcterms:W3CDTF">2024-09-06T21:54:00Z</dcterms:created>
  <dcterms:modified xsi:type="dcterms:W3CDTF">2024-09-17T20:14:00Z</dcterms:modified>
</cp:coreProperties>
</file>