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222E" w14:textId="77777777" w:rsidR="008B7650" w:rsidRDefault="008B7650" w:rsidP="008B7650">
      <w:pPr>
        <w:rPr>
          <w:color w:val="FFFFFF" w:themeColor="background1"/>
        </w:rPr>
      </w:pPr>
      <w:bookmarkStart w:id="0" w:name="_Toc23838579"/>
      <w:bookmarkStart w:id="1" w:name="_Toc485899222"/>
      <w:bookmarkStart w:id="2" w:name="_GoBack"/>
      <w:bookmarkEnd w:id="2"/>
      <w:r>
        <w:rPr>
          <w:color w:val="FFFFFF" w:themeColor="background1"/>
        </w:rPr>
        <w:t>Please adjust your screen reader settings to recognize underline and strikethrough text.</w:t>
      </w:r>
    </w:p>
    <w:p w14:paraId="2AB453A4" w14:textId="7D6CE1F0" w:rsidR="00ED0285" w:rsidRPr="0086431F" w:rsidRDefault="00ED0285" w:rsidP="00ED0285">
      <w:pPr>
        <w:pStyle w:val="Heading1"/>
      </w:pPr>
      <w:r w:rsidRPr="0086431F">
        <w:t xml:space="preserve">Cumulative </w:t>
      </w:r>
      <w:r>
        <w:t>Effects Analysis</w:t>
      </w:r>
      <w:bookmarkEnd w:id="0"/>
    </w:p>
    <w:p w14:paraId="62F98FB2" w14:textId="58FDE12B" w:rsidR="00ED0285" w:rsidRDefault="003811EE" w:rsidP="00ED0285">
      <w:pPr>
        <w:pStyle w:val="Heading2"/>
      </w:pPr>
      <w:bookmarkStart w:id="3" w:name="_Toc23838580"/>
      <w:r>
        <w:t>Introduction</w:t>
      </w:r>
      <w:r w:rsidR="00ED0285">
        <w:t xml:space="preserve"> to the Cumulative Effects Analysis</w:t>
      </w:r>
      <w:bookmarkEnd w:id="3"/>
    </w:p>
    <w:p w14:paraId="7A321CE9" w14:textId="407B4C6C" w:rsidR="003811EE" w:rsidRPr="00B757D1" w:rsidRDefault="003811EE" w:rsidP="003811EE">
      <w:pPr>
        <w:pStyle w:val="BodyText"/>
      </w:pPr>
      <w:r w:rsidRPr="00B757D1">
        <w:t xml:space="preserve">This </w:t>
      </w:r>
      <w:r w:rsidR="00EA3F64">
        <w:t>section presents</w:t>
      </w:r>
      <w:r w:rsidRPr="00B757D1">
        <w:t xml:space="preserve"> an analysis of</w:t>
      </w:r>
      <w:r w:rsidR="00EA3F64">
        <w:t xml:space="preserve"> the</w:t>
      </w:r>
      <w:r w:rsidRPr="00B757D1">
        <w:t xml:space="preserve"> cumulative impacts of the proposed </w:t>
      </w:r>
      <w:r>
        <w:t xml:space="preserve">CalVTP </w:t>
      </w:r>
      <w:r w:rsidR="00EA3F64">
        <w:t>considered</w:t>
      </w:r>
      <w:r w:rsidR="00EA3F64" w:rsidRPr="00B757D1">
        <w:t xml:space="preserve"> </w:t>
      </w:r>
      <w:r w:rsidRPr="00B757D1">
        <w:t xml:space="preserve">together with </w:t>
      </w:r>
      <w:bookmarkStart w:id="4" w:name="_Hlk5198867"/>
      <w:r w:rsidRPr="00B757D1">
        <w:t xml:space="preserve">other past, present, and probable future projects </w:t>
      </w:r>
      <w:bookmarkEnd w:id="4"/>
      <w:r w:rsidRPr="00B757D1">
        <w:t>producing related impacts, as required by Section 15130 of the California Environmental Quality Act Guidelines (State CEQA Guidelines). The goal of such an exercise is twofold: first, to determine whether the overall long-term impacts of all such</w:t>
      </w:r>
      <w:r w:rsidR="00EA3F64">
        <w:t xml:space="preserve"> </w:t>
      </w:r>
      <w:r w:rsidR="00EA3F64" w:rsidRPr="00B757D1">
        <w:t xml:space="preserve">past, present, and probable future </w:t>
      </w:r>
      <w:r w:rsidRPr="00B757D1">
        <w:t xml:space="preserve">projects </w:t>
      </w:r>
      <w:r w:rsidR="00EA3F64">
        <w:t>are</w:t>
      </w:r>
      <w:r w:rsidRPr="00B757D1">
        <w:t xml:space="preserve"> cumulatively significant; and second, to determine whether the</w:t>
      </w:r>
      <w:r w:rsidR="00EA3F64">
        <w:t xml:space="preserve"> CalVTP</w:t>
      </w:r>
      <w:r w:rsidR="00CC081D">
        <w:t>’</w:t>
      </w:r>
      <w:r w:rsidR="00EA3F64">
        <w:t>s</w:t>
      </w:r>
      <w:r w:rsidRPr="00B757D1">
        <w:t xml:space="preserve"> incremental contribution to any such cumulatively significant impacts</w:t>
      </w:r>
      <w:r w:rsidR="00EA3F64">
        <w:t xml:space="preserve"> </w:t>
      </w:r>
      <w:r w:rsidRPr="00B757D1">
        <w:t xml:space="preserve">would </w:t>
      </w:r>
      <w:r>
        <w:t>be</w:t>
      </w:r>
      <w:r w:rsidRPr="00B757D1">
        <w:t xml:space="preserve"> </w:t>
      </w:r>
      <w:r w:rsidR="00CC081D">
        <w:t>“</w:t>
      </w:r>
      <w:r w:rsidRPr="00B757D1">
        <w:t>cumulatively considerable</w:t>
      </w:r>
      <w:r w:rsidR="00CC081D">
        <w:t>”</w:t>
      </w:r>
      <w:r w:rsidRPr="00B757D1">
        <w:t xml:space="preserve"> (and </w:t>
      </w:r>
      <w:r w:rsidR="00EA3F64">
        <w:t>therefore</w:t>
      </w:r>
      <w:r w:rsidR="00EA3F64" w:rsidRPr="00B757D1">
        <w:t xml:space="preserve"> </w:t>
      </w:r>
      <w:r w:rsidRPr="00B757D1">
        <w:t xml:space="preserve">significant). (See State CEQA Guidelines Sections 15130[a]–[b], Section 15355[b], </w:t>
      </w:r>
      <w:r w:rsidR="00EA3F64">
        <w:t xml:space="preserve">and </w:t>
      </w:r>
      <w:r w:rsidRPr="00B757D1">
        <w:t xml:space="preserve">Section 15064[h]; and </w:t>
      </w:r>
      <w:r w:rsidRPr="00D65E8D">
        <w:rPr>
          <w:i/>
        </w:rPr>
        <w:t>Communities for a Better Environment v. California Resources Agenc</w:t>
      </w:r>
      <w:r w:rsidRPr="00B757D1">
        <w:t>y [2002]</w:t>
      </w:r>
      <w:r>
        <w:t xml:space="preserve"> </w:t>
      </w:r>
      <w:r w:rsidRPr="00B757D1">
        <w:t xml:space="preserve">103 Cal. App. 4th 98, 120.) </w:t>
      </w:r>
    </w:p>
    <w:p w14:paraId="7449E9A4" w14:textId="11075BA1" w:rsidR="005E6B3F" w:rsidRDefault="003811EE" w:rsidP="003811EE">
      <w:pPr>
        <w:pStyle w:val="BodyText"/>
      </w:pPr>
      <w:r w:rsidRPr="00B757D1">
        <w:t xml:space="preserve">Cumulative impacts are defined in State CEQA Guidelines Section 15355 as </w:t>
      </w:r>
      <w:r w:rsidR="00CC081D">
        <w:t>“</w:t>
      </w:r>
      <w:r w:rsidRPr="00B757D1">
        <w:t>two or more individual effects which, when considered together, are considerable or which compound or increase other environmental impacts.</w:t>
      </w:r>
      <w:r w:rsidR="00CC081D">
        <w:t>”</w:t>
      </w:r>
      <w:r w:rsidRPr="00B757D1">
        <w:t xml:space="preserve"> A cumulative impact occurs from </w:t>
      </w:r>
      <w:r w:rsidR="00CC081D">
        <w:t>“</w:t>
      </w:r>
      <w:r w:rsidRPr="00B757D1">
        <w:t>the change in the environment which results from the incremental impact of the project when added to other closely related past, present, and reasonably foreseeable probable future projects. Cumulative impacts can result from individually minor but collectively significant projects taking place over a period of time</w:t>
      </w:r>
      <w:r w:rsidR="00CC081D">
        <w:t>”</w:t>
      </w:r>
      <w:r w:rsidRPr="00B757D1">
        <w:t xml:space="preserve"> (State CEQA Guidelines Section</w:t>
      </w:r>
      <w:r>
        <w:t xml:space="preserve"> </w:t>
      </w:r>
      <w:r w:rsidRPr="00B757D1">
        <w:t>15355[b]).</w:t>
      </w:r>
    </w:p>
    <w:p w14:paraId="79BDCF25" w14:textId="326B5D48" w:rsidR="005E6B3F" w:rsidRPr="00B757D1" w:rsidRDefault="005E6B3F" w:rsidP="003811EE">
      <w:pPr>
        <w:pStyle w:val="BodyText"/>
      </w:pPr>
      <w:r w:rsidRPr="00454F65">
        <w:t xml:space="preserve">The State CEQA Guidelines identify two basic methods for establishing the cumulative environment in which the project is to be considered: the use of a list of past, present, and probable future projects (the </w:t>
      </w:r>
      <w:r w:rsidR="00CC081D">
        <w:t>“</w:t>
      </w:r>
      <w:r w:rsidRPr="00454F65">
        <w:t>list approach</w:t>
      </w:r>
      <w:r w:rsidR="00CC081D">
        <w:t>”</w:t>
      </w:r>
      <w:r w:rsidRPr="00454F65">
        <w:t xml:space="preserve">) or the use of adopted projections from a general plan, other regional planning document, or certified EIR for such a planning document (the </w:t>
      </w:r>
      <w:r w:rsidR="00CC081D">
        <w:t>“</w:t>
      </w:r>
      <w:r w:rsidRPr="00454F65">
        <w:t>plan approach</w:t>
      </w:r>
      <w:r w:rsidR="00CC081D">
        <w:t>”</w:t>
      </w:r>
      <w:r w:rsidRPr="00454F65">
        <w:t>).</w:t>
      </w:r>
      <w:r>
        <w:t xml:space="preserve"> Because of the </w:t>
      </w:r>
      <w:r w:rsidR="00F82FBF">
        <w:t>large</w:t>
      </w:r>
      <w:r>
        <w:t xml:space="preserve"> geographic scale of the CalVTP and the </w:t>
      </w:r>
      <w:r w:rsidRPr="0040556C">
        <w:t xml:space="preserve">broad range of activities </w:t>
      </w:r>
      <w:r>
        <w:t xml:space="preserve">that </w:t>
      </w:r>
      <w:r w:rsidRPr="0040556C">
        <w:t>can affect vegetation</w:t>
      </w:r>
      <w:r>
        <w:t xml:space="preserve">, </w:t>
      </w:r>
      <w:r w:rsidR="0075250A">
        <w:t>this analysis uses the plan approach.</w:t>
      </w:r>
      <w:r w:rsidR="00302C91">
        <w:t xml:space="preserve"> </w:t>
      </w:r>
    </w:p>
    <w:p w14:paraId="1B0A86B1" w14:textId="02E3CAF9" w:rsidR="00ED0285" w:rsidRDefault="00ED0285" w:rsidP="00ED0285">
      <w:pPr>
        <w:pStyle w:val="Heading3"/>
      </w:pPr>
      <w:r w:rsidRPr="007C2DEB">
        <w:t>Geographic Scope</w:t>
      </w:r>
    </w:p>
    <w:p w14:paraId="7B08336B" w14:textId="2C39DFA0" w:rsidR="003811EE" w:rsidRPr="00164E75" w:rsidRDefault="004443AF" w:rsidP="003811EE">
      <w:pPr>
        <w:pStyle w:val="BodyText"/>
      </w:pPr>
      <w:r>
        <w:t xml:space="preserve">Impacts of the proposed CalVTP would occur within and proximate to </w:t>
      </w:r>
      <w:r w:rsidR="00350476">
        <w:t xml:space="preserve">approximately 250,000 treated acres annually that are located within </w:t>
      </w:r>
      <w:r>
        <w:t>the approximately 20.3</w:t>
      </w:r>
      <w:r w:rsidR="00D65E8D">
        <w:t>-</w:t>
      </w:r>
      <w:r>
        <w:t>million</w:t>
      </w:r>
      <w:r w:rsidR="00D65E8D">
        <w:t>-</w:t>
      </w:r>
      <w:r>
        <w:t>acre treatable landscape</w:t>
      </w:r>
      <w:r w:rsidR="00350476">
        <w:t>. The treatable landscape</w:t>
      </w:r>
      <w:r>
        <w:t xml:space="preserve"> spans across </w:t>
      </w:r>
      <w:r w:rsidR="003811EE">
        <w:t>the</w:t>
      </w:r>
      <w:r w:rsidR="00235079">
        <w:t xml:space="preserve"> state</w:t>
      </w:r>
      <w:r w:rsidR="003E0CC1">
        <w:t xml:space="preserve"> of California</w:t>
      </w:r>
      <w:r w:rsidR="003811EE">
        <w:t xml:space="preserve">. </w:t>
      </w:r>
      <w:r w:rsidR="003811EE" w:rsidRPr="00164E75">
        <w:t xml:space="preserve">The broad geographic </w:t>
      </w:r>
      <w:r w:rsidR="00EA3F64">
        <w:t>scope</w:t>
      </w:r>
      <w:r w:rsidR="00EA3F64" w:rsidRPr="00164E75">
        <w:t xml:space="preserve"> </w:t>
      </w:r>
      <w:r w:rsidR="003811EE" w:rsidRPr="00164E75">
        <w:t xml:space="preserve">of potential impacts from the CalVTP means that </w:t>
      </w:r>
      <w:r>
        <w:t>many</w:t>
      </w:r>
      <w:r w:rsidR="003811EE" w:rsidRPr="00164E75">
        <w:t xml:space="preserve"> other past, present, and reasonably foreseeable future activities may interact to </w:t>
      </w:r>
      <w:r>
        <w:t>result in</w:t>
      </w:r>
      <w:r w:rsidRPr="00164E75">
        <w:t xml:space="preserve"> </w:t>
      </w:r>
      <w:r w:rsidR="003811EE" w:rsidRPr="00164E75">
        <w:t xml:space="preserve">cumulative impacts. </w:t>
      </w:r>
    </w:p>
    <w:p w14:paraId="77EE5C57" w14:textId="46ECF284" w:rsidR="00ED0285" w:rsidRPr="00ED0285" w:rsidRDefault="004443AF" w:rsidP="003811EE">
      <w:pPr>
        <w:pStyle w:val="BodyText"/>
      </w:pPr>
      <w:r>
        <w:t>T</w:t>
      </w:r>
      <w:r w:rsidR="003811EE" w:rsidRPr="009F04C6">
        <w:t xml:space="preserve">he </w:t>
      </w:r>
      <w:r>
        <w:t xml:space="preserve">proposed </w:t>
      </w:r>
      <w:r w:rsidR="003811EE" w:rsidRPr="009F04C6">
        <w:t xml:space="preserve">CalVTP </w:t>
      </w:r>
      <w:r>
        <w:t>does</w:t>
      </w:r>
      <w:r w:rsidRPr="009F04C6">
        <w:t xml:space="preserve"> </w:t>
      </w:r>
      <w:r w:rsidR="003811EE" w:rsidRPr="009F04C6">
        <w:t xml:space="preserve">not include the construction of any new or expanded </w:t>
      </w:r>
      <w:r w:rsidR="00350476">
        <w:t xml:space="preserve">structures or built </w:t>
      </w:r>
      <w:r w:rsidR="003811EE" w:rsidRPr="009F04C6">
        <w:t xml:space="preserve">facilities, and physical activities would be limited to the vegetation treatment types </w:t>
      </w:r>
      <w:r w:rsidR="00E77F8E">
        <w:t xml:space="preserve">and treatment activities </w:t>
      </w:r>
      <w:r w:rsidR="003811EE" w:rsidRPr="009F04C6">
        <w:t xml:space="preserve">described in Chapter 2, </w:t>
      </w:r>
      <w:r w:rsidR="00CC081D">
        <w:t>“</w:t>
      </w:r>
      <w:r w:rsidR="003811EE" w:rsidRPr="009F04C6">
        <w:t>Program Description,</w:t>
      </w:r>
      <w:r w:rsidR="00CC081D">
        <w:t>”</w:t>
      </w:r>
      <w:r w:rsidR="003811EE" w:rsidRPr="009F04C6">
        <w:t xml:space="preserve"> within the treatable landscape.</w:t>
      </w:r>
      <w:r w:rsidR="003811EE">
        <w:t xml:space="preserve"> Related projects considered in the cumulative analysis include other activities conducted by CAL FIRE</w:t>
      </w:r>
      <w:r w:rsidR="0009582F">
        <w:t>;</w:t>
      </w:r>
      <w:r w:rsidR="0014617A">
        <w:t xml:space="preserve"> plans</w:t>
      </w:r>
      <w:r w:rsidR="0009582F">
        <w:t xml:space="preserve">, </w:t>
      </w:r>
      <w:r w:rsidR="00A50E61">
        <w:t>projects,</w:t>
      </w:r>
      <w:r w:rsidR="0014617A">
        <w:t xml:space="preserve"> </w:t>
      </w:r>
      <w:r w:rsidR="0009582F">
        <w:t xml:space="preserve">and activities </w:t>
      </w:r>
      <w:r w:rsidR="0014617A">
        <w:t>that would affect the same resources</w:t>
      </w:r>
      <w:r>
        <w:t xml:space="preserve"> as the CalVTP in similar ways</w:t>
      </w:r>
      <w:r w:rsidR="0009582F">
        <w:t>;</w:t>
      </w:r>
      <w:r w:rsidR="0014617A">
        <w:t xml:space="preserve"> </w:t>
      </w:r>
      <w:r w:rsidR="003811EE">
        <w:t xml:space="preserve">and activities conducted by other entities </w:t>
      </w:r>
      <w:r w:rsidR="001A2E25">
        <w:t xml:space="preserve">outside of the SRA </w:t>
      </w:r>
      <w:r w:rsidR="00235079">
        <w:t xml:space="preserve">(within </w:t>
      </w:r>
      <w:r>
        <w:t xml:space="preserve">the </w:t>
      </w:r>
      <w:r w:rsidR="00235079">
        <w:t xml:space="preserve">FRA and LRA) </w:t>
      </w:r>
      <w:r w:rsidR="003811EE">
        <w:t xml:space="preserve">that would affect </w:t>
      </w:r>
      <w:r w:rsidR="001A2E25">
        <w:t xml:space="preserve">the same </w:t>
      </w:r>
      <w:r w:rsidR="003811EE">
        <w:t>resources</w:t>
      </w:r>
      <w:r>
        <w:t xml:space="preserve"> as the CalVTP in similar ways</w:t>
      </w:r>
      <w:r w:rsidR="003811EE" w:rsidRPr="00F91A7E">
        <w:t xml:space="preserve">. </w:t>
      </w:r>
      <w:r w:rsidR="00345BBE" w:rsidRPr="00F91A7E">
        <w:t xml:space="preserve">The geographic </w:t>
      </w:r>
      <w:r w:rsidR="00345BBE">
        <w:t xml:space="preserve">scope for </w:t>
      </w:r>
      <w:r w:rsidR="00345BBE" w:rsidRPr="00F91A7E">
        <w:t xml:space="preserve">cumulative impact analysis varies depending on the environmental resource topic and is </w:t>
      </w:r>
      <w:r w:rsidR="00345BBE">
        <w:t>identified</w:t>
      </w:r>
      <w:r w:rsidR="00345BBE" w:rsidRPr="00F91A7E">
        <w:t xml:space="preserve"> in each of the resource sections below</w:t>
      </w:r>
      <w:r w:rsidR="003811EE" w:rsidRPr="00F91A7E">
        <w:t>.</w:t>
      </w:r>
    </w:p>
    <w:p w14:paraId="7DDE04C5" w14:textId="0E59640E" w:rsidR="00ED0285" w:rsidRDefault="00ED0285" w:rsidP="00ED0285">
      <w:pPr>
        <w:pStyle w:val="Heading3"/>
      </w:pPr>
      <w:r w:rsidRPr="007C2DEB">
        <w:t>Timeframe</w:t>
      </w:r>
    </w:p>
    <w:p w14:paraId="50AC12DB" w14:textId="7D7E4F9A" w:rsidR="003811EE" w:rsidRPr="0042060A" w:rsidRDefault="003811EE" w:rsidP="003811EE">
      <w:pPr>
        <w:pStyle w:val="BodyText"/>
      </w:pPr>
      <w:r w:rsidRPr="0042060A">
        <w:t xml:space="preserve">The timeframe of past, present, and probable future </w:t>
      </w:r>
      <w:r w:rsidR="00AE5E59">
        <w:t>activities</w:t>
      </w:r>
      <w:r w:rsidRPr="0042060A">
        <w:t xml:space="preserve"> was determined as follows:</w:t>
      </w:r>
    </w:p>
    <w:p w14:paraId="745C44FB" w14:textId="12D4890F" w:rsidR="003811EE" w:rsidRPr="00557767" w:rsidRDefault="003811EE" w:rsidP="003811EE">
      <w:pPr>
        <w:pStyle w:val="Bullet1"/>
      </w:pPr>
      <w:r w:rsidRPr="00557767">
        <w:rPr>
          <w:b/>
        </w:rPr>
        <w:t xml:space="preserve">Past </w:t>
      </w:r>
      <w:r w:rsidR="00AE5E59">
        <w:rPr>
          <w:b/>
        </w:rPr>
        <w:t>Activities</w:t>
      </w:r>
      <w:r w:rsidRPr="00557767">
        <w:t xml:space="preserve">. </w:t>
      </w:r>
      <w:r w:rsidR="00A97335">
        <w:t xml:space="preserve">Past projects/activities include </w:t>
      </w:r>
      <w:r w:rsidR="003C13A1">
        <w:t>those occurring prior to</w:t>
      </w:r>
      <w:r w:rsidR="003C13A1" w:rsidRPr="00557767">
        <w:t xml:space="preserve"> January 3</w:t>
      </w:r>
      <w:r w:rsidR="003C13A1">
        <w:t>0</w:t>
      </w:r>
      <w:r w:rsidR="003C13A1" w:rsidRPr="00557767">
        <w:t>, 2019 (the time that the EIR</w:t>
      </w:r>
      <w:r w:rsidR="00CC081D">
        <w:t>’</w:t>
      </w:r>
      <w:r w:rsidR="003C13A1" w:rsidRPr="00557767">
        <w:t>s Notice of Publication was published</w:t>
      </w:r>
      <w:r w:rsidR="00345BBE">
        <w:t>)</w:t>
      </w:r>
      <w:r w:rsidR="00350476">
        <w:t xml:space="preserve">. </w:t>
      </w:r>
      <w:r w:rsidR="00345BBE">
        <w:t xml:space="preserve">The influence of past activities is reflected in the baseline, which, </w:t>
      </w:r>
      <w:r w:rsidR="00345BBE" w:rsidRPr="00557767">
        <w:t xml:space="preserve">pursuant to CEQA, reflects </w:t>
      </w:r>
      <w:r w:rsidR="00CC081D">
        <w:t>“</w:t>
      </w:r>
      <w:r w:rsidR="00345BBE">
        <w:t>e</w:t>
      </w:r>
      <w:r w:rsidR="00345BBE" w:rsidRPr="00557767">
        <w:t xml:space="preserve">xisting </w:t>
      </w:r>
      <w:r w:rsidR="00345BBE">
        <w:t>c</w:t>
      </w:r>
      <w:r w:rsidR="00345BBE" w:rsidRPr="00557767">
        <w:t>onditions</w:t>
      </w:r>
      <w:r w:rsidR="00CC081D">
        <w:t>”</w:t>
      </w:r>
      <w:r w:rsidR="00345BBE" w:rsidRPr="00557767">
        <w:t xml:space="preserve"> </w:t>
      </w:r>
      <w:r w:rsidR="00345BBE">
        <w:t>at the time of the NOP</w:t>
      </w:r>
      <w:r w:rsidR="00345BBE" w:rsidRPr="00557767">
        <w:t xml:space="preserve"> </w:t>
      </w:r>
      <w:r w:rsidR="00345BBE">
        <w:t>[</w:t>
      </w:r>
      <w:r w:rsidR="00345BBE" w:rsidRPr="00557767">
        <w:t>State CEQA Guidelines Section 15125</w:t>
      </w:r>
      <w:r w:rsidR="00345BBE">
        <w:t>[</w:t>
      </w:r>
      <w:r w:rsidR="00345BBE" w:rsidRPr="00557767">
        <w:t>a</w:t>
      </w:r>
      <w:r w:rsidR="00345BBE">
        <w:t>]]</w:t>
      </w:r>
      <w:r w:rsidR="00345BBE" w:rsidRPr="00557767">
        <w:t>)</w:t>
      </w:r>
      <w:r w:rsidR="00345BBE">
        <w:t xml:space="preserve">. </w:t>
      </w:r>
      <w:r w:rsidR="00961C17">
        <w:t xml:space="preserve">A brief historical context discussing land use changes within the state is also included below to further describe past </w:t>
      </w:r>
      <w:r w:rsidR="00961C17">
        <w:lastRenderedPageBreak/>
        <w:t xml:space="preserve">activities. </w:t>
      </w:r>
      <w:r w:rsidR="00054AAC">
        <w:t>Acreages for p</w:t>
      </w:r>
      <w:r w:rsidR="00D74766">
        <w:t>ast vegetation treatment</w:t>
      </w:r>
      <w:r w:rsidR="00054AAC">
        <w:t xml:space="preserve"> </w:t>
      </w:r>
      <w:r w:rsidR="00A50E61">
        <w:t>activities</w:t>
      </w:r>
      <w:r w:rsidR="00054AAC">
        <w:t xml:space="preserve"> are</w:t>
      </w:r>
      <w:r w:rsidR="00D74766">
        <w:t xml:space="preserve"> provided from 2004</w:t>
      </w:r>
      <w:r w:rsidR="00054AAC">
        <w:t xml:space="preserve"> through 2018</w:t>
      </w:r>
      <w:r w:rsidR="00D74766">
        <w:t xml:space="preserve">, which </w:t>
      </w:r>
      <w:r w:rsidR="00B7614A">
        <w:t>represent</w:t>
      </w:r>
      <w:r w:rsidR="00054AAC">
        <w:t xml:space="preserve"> the </w:t>
      </w:r>
      <w:r w:rsidR="00D74766">
        <w:t>year</w:t>
      </w:r>
      <w:r w:rsidR="00591270">
        <w:t>s</w:t>
      </w:r>
      <w:r w:rsidR="00D74766">
        <w:t xml:space="preserve"> </w:t>
      </w:r>
      <w:r w:rsidR="00330C49">
        <w:t xml:space="preserve">for which </w:t>
      </w:r>
      <w:r w:rsidR="00D74766" w:rsidRPr="00297861">
        <w:t xml:space="preserve">complete data </w:t>
      </w:r>
      <w:r w:rsidR="004443AF">
        <w:t>are</w:t>
      </w:r>
      <w:r w:rsidR="004443AF" w:rsidRPr="00297861">
        <w:t xml:space="preserve"> </w:t>
      </w:r>
      <w:r w:rsidR="00D74766" w:rsidRPr="00297861">
        <w:t>available</w:t>
      </w:r>
      <w:r w:rsidR="00D74766">
        <w:t xml:space="preserve">. </w:t>
      </w:r>
    </w:p>
    <w:p w14:paraId="12CF40D4" w14:textId="70A9E1EA" w:rsidR="003811EE" w:rsidRPr="00557767" w:rsidRDefault="003811EE" w:rsidP="003C13A1">
      <w:pPr>
        <w:pStyle w:val="Bullet1"/>
      </w:pPr>
      <w:r w:rsidRPr="00557767">
        <w:rPr>
          <w:b/>
        </w:rPr>
        <w:t xml:space="preserve">Present </w:t>
      </w:r>
      <w:r w:rsidR="00AE5E59">
        <w:rPr>
          <w:b/>
        </w:rPr>
        <w:t>Activities</w:t>
      </w:r>
      <w:r w:rsidRPr="00557767">
        <w:t xml:space="preserve">. </w:t>
      </w:r>
      <w:r w:rsidR="003C13A1">
        <w:t>P</w:t>
      </w:r>
      <w:r w:rsidR="00861D0D" w:rsidRPr="00557767">
        <w:t>rojects</w:t>
      </w:r>
      <w:r w:rsidR="00692879">
        <w:t>/activities</w:t>
      </w:r>
      <w:r w:rsidR="003C13A1">
        <w:t xml:space="preserve"> are that are either </w:t>
      </w:r>
      <w:r w:rsidR="0009582F">
        <w:t>under</w:t>
      </w:r>
      <w:r w:rsidR="003C13A1">
        <w:t xml:space="preserve"> construction, have been approved for construction and operation, or are ongoing as of January 30, 2019</w:t>
      </w:r>
      <w:r w:rsidR="00350476">
        <w:t xml:space="preserve"> through the time of the </w:t>
      </w:r>
      <w:r w:rsidR="00523D63">
        <w:t>P</w:t>
      </w:r>
      <w:r w:rsidR="00350476">
        <w:t xml:space="preserve">EIR </w:t>
      </w:r>
      <w:r w:rsidR="00523D63">
        <w:t>process</w:t>
      </w:r>
      <w:r w:rsidR="00350476">
        <w:t>.</w:t>
      </w:r>
    </w:p>
    <w:p w14:paraId="16602D9A" w14:textId="7663C57D" w:rsidR="00ED0285" w:rsidRPr="00ED0285" w:rsidRDefault="00350476" w:rsidP="003811EE">
      <w:pPr>
        <w:pStyle w:val="Bullet1"/>
      </w:pPr>
      <w:r>
        <w:rPr>
          <w:b/>
        </w:rPr>
        <w:t xml:space="preserve">Reasonably Foreseeable, </w:t>
      </w:r>
      <w:r w:rsidR="003811EE" w:rsidRPr="00557767">
        <w:rPr>
          <w:b/>
        </w:rPr>
        <w:t xml:space="preserve">Probable Future </w:t>
      </w:r>
      <w:r w:rsidR="00AE5E59">
        <w:rPr>
          <w:b/>
        </w:rPr>
        <w:t>Activities</w:t>
      </w:r>
      <w:r w:rsidR="003811EE" w:rsidRPr="00557767">
        <w:t xml:space="preserve">. </w:t>
      </w:r>
      <w:r w:rsidR="002D2ED7">
        <w:t xml:space="preserve">Reasonably foreseeable future activities include </w:t>
      </w:r>
      <w:r w:rsidR="00E577FA">
        <w:t xml:space="preserve">a </w:t>
      </w:r>
      <w:r w:rsidR="002D2ED7">
        <w:t>s</w:t>
      </w:r>
      <w:r w:rsidR="00CC4798">
        <w:t>ummary of</w:t>
      </w:r>
      <w:r w:rsidR="00E97842" w:rsidRPr="008A4A94">
        <w:t xml:space="preserve"> </w:t>
      </w:r>
      <w:r w:rsidR="00E577FA">
        <w:t xml:space="preserve">reasonably foreseeable activities </w:t>
      </w:r>
      <w:r w:rsidR="00E97842" w:rsidRPr="008A4A94">
        <w:t>from regional planning document</w:t>
      </w:r>
      <w:r w:rsidR="003713E9">
        <w:t>s within the state.</w:t>
      </w:r>
      <w:r w:rsidR="00E97842">
        <w:t xml:space="preserve"> </w:t>
      </w:r>
      <w:r w:rsidR="002D2ED7">
        <w:t>In addition, p</w:t>
      </w:r>
      <w:r w:rsidR="00B26A06">
        <w:t>opulation projections through</w:t>
      </w:r>
      <w:r w:rsidR="009D4FA0">
        <w:t xml:space="preserve"> </w:t>
      </w:r>
      <w:r w:rsidR="009D4FA0" w:rsidRPr="003C13A1">
        <w:t>20</w:t>
      </w:r>
      <w:r w:rsidR="00B26A06">
        <w:t>6</w:t>
      </w:r>
      <w:r w:rsidR="009D4FA0" w:rsidRPr="003C13A1">
        <w:t>0</w:t>
      </w:r>
      <w:r w:rsidR="00E90097">
        <w:t xml:space="preserve"> </w:t>
      </w:r>
      <w:r w:rsidR="00330C49">
        <w:t xml:space="preserve">were also considered </w:t>
      </w:r>
      <w:r w:rsidR="00490468">
        <w:t>as the reasonably foreseeable planning horizon</w:t>
      </w:r>
      <w:r w:rsidR="00FD593E">
        <w:t xml:space="preserve"> because this </w:t>
      </w:r>
      <w:r w:rsidR="00281AB6">
        <w:t xml:space="preserve">is the timeframe </w:t>
      </w:r>
      <w:r w:rsidR="00FD593E">
        <w:t>for which California Department of Finance (DOF) currently has projections</w:t>
      </w:r>
      <w:r w:rsidR="00490468">
        <w:t>.</w:t>
      </w:r>
    </w:p>
    <w:p w14:paraId="181834F6" w14:textId="0C12AA69" w:rsidR="00931FC7" w:rsidRDefault="00361D3A" w:rsidP="00ED0285">
      <w:pPr>
        <w:pStyle w:val="Heading2"/>
      </w:pPr>
      <w:bookmarkStart w:id="5" w:name="_Toc23838581"/>
      <w:r>
        <w:t>E</w:t>
      </w:r>
      <w:r w:rsidR="00F82FBF">
        <w:t xml:space="preserve">xisting </w:t>
      </w:r>
      <w:r>
        <w:t>C</w:t>
      </w:r>
      <w:r w:rsidR="00F82FBF">
        <w:t>onditions</w:t>
      </w:r>
      <w:r w:rsidR="00931FC7">
        <w:t xml:space="preserve"> Context</w:t>
      </w:r>
      <w:r w:rsidR="00F82FBF">
        <w:t xml:space="preserve"> </w:t>
      </w:r>
      <w:r>
        <w:t>I</w:t>
      </w:r>
      <w:r w:rsidR="00F82FBF">
        <w:t xml:space="preserve">ncluding </w:t>
      </w:r>
      <w:r>
        <w:t>P</w:t>
      </w:r>
      <w:r w:rsidR="00F82FBF">
        <w:t xml:space="preserve">ast </w:t>
      </w:r>
      <w:r>
        <w:t>A</w:t>
      </w:r>
      <w:r w:rsidR="00F82FBF">
        <w:t>ctivit</w:t>
      </w:r>
      <w:r w:rsidR="00F801A4">
        <w:t>i</w:t>
      </w:r>
      <w:r w:rsidR="00F82FBF">
        <w:t>es</w:t>
      </w:r>
      <w:bookmarkEnd w:id="5"/>
    </w:p>
    <w:p w14:paraId="49806B0E" w14:textId="15D471C3" w:rsidR="00931FC7" w:rsidRPr="005A33DA" w:rsidRDefault="0075062B" w:rsidP="003646BD">
      <w:pPr>
        <w:pStyle w:val="BodyText"/>
      </w:pPr>
      <w:r>
        <w:t xml:space="preserve">Lands within the state have been </w:t>
      </w:r>
      <w:r w:rsidR="00F07AAC">
        <w:t>shaped by past and ongoing land uses and other activities that have influenced environmental conditions. This section provides a brief summary of these past and ongoing land uses and activities that have contributed to (and continue to contribute to) cumulative effects.</w:t>
      </w:r>
      <w:r w:rsidR="00344963">
        <w:t xml:space="preserve"> Other </w:t>
      </w:r>
      <w:r w:rsidR="00D171EA">
        <w:t>historic land uses</w:t>
      </w:r>
      <w:r w:rsidR="00344963">
        <w:t xml:space="preserve"> producing related </w:t>
      </w:r>
      <w:r w:rsidR="00344963" w:rsidRPr="005A33DA">
        <w:t>or cumulative effects</w:t>
      </w:r>
      <w:r w:rsidR="006F223D">
        <w:t xml:space="preserve"> such as </w:t>
      </w:r>
      <w:r w:rsidR="00344963" w:rsidRPr="005A33DA">
        <w:t xml:space="preserve">large surface area disturbance, vegetation removal, noise, air pollution, greenhouse gas </w:t>
      </w:r>
      <w:r w:rsidR="00D171EA">
        <w:t xml:space="preserve">(GHG) </w:t>
      </w:r>
      <w:r w:rsidR="00344963" w:rsidRPr="005A33DA">
        <w:t xml:space="preserve">emissions, </w:t>
      </w:r>
      <w:r w:rsidR="000939C3">
        <w:t xml:space="preserve">degradation of </w:t>
      </w:r>
      <w:r w:rsidR="00344963" w:rsidRPr="005A33DA">
        <w:t xml:space="preserve">water </w:t>
      </w:r>
      <w:r w:rsidR="000939C3">
        <w:t>quality</w:t>
      </w:r>
      <w:r w:rsidR="00344963" w:rsidRPr="005A33DA">
        <w:t xml:space="preserve">, and the use of hazardous materials are included in this section. These </w:t>
      </w:r>
      <w:r w:rsidR="00D171EA">
        <w:t>land uses</w:t>
      </w:r>
      <w:r w:rsidR="005A33DA">
        <w:t xml:space="preserve"> </w:t>
      </w:r>
      <w:r w:rsidR="00344963" w:rsidRPr="005A33DA">
        <w:t xml:space="preserve">include </w:t>
      </w:r>
      <w:r w:rsidR="00D171EA">
        <w:t>historic</w:t>
      </w:r>
      <w:r w:rsidR="000939C3">
        <w:t xml:space="preserve"> agricultural operations, </w:t>
      </w:r>
      <w:r w:rsidR="00344963" w:rsidRPr="005A33DA">
        <w:t xml:space="preserve">resource extraction activities, </w:t>
      </w:r>
      <w:r w:rsidR="00B64673">
        <w:t xml:space="preserve">development, </w:t>
      </w:r>
      <w:r w:rsidR="00344963" w:rsidRPr="005A33DA">
        <w:t xml:space="preserve">large-scale infrastructure, and large-scale transportation projects. Residential and commercial development are </w:t>
      </w:r>
      <w:r w:rsidR="006F223D">
        <w:t xml:space="preserve">briefly described herein and </w:t>
      </w:r>
      <w:r w:rsidR="00060FDF">
        <w:t xml:space="preserve">are described </w:t>
      </w:r>
      <w:r w:rsidR="00FA185A">
        <w:t xml:space="preserve">further </w:t>
      </w:r>
      <w:r w:rsidR="00060FDF">
        <w:t>under Section</w:t>
      </w:r>
      <w:r w:rsidR="00344963" w:rsidRPr="005A33DA">
        <w:t xml:space="preserve"> </w:t>
      </w:r>
      <w:r w:rsidR="00FA185A">
        <w:t xml:space="preserve">4.3.12 </w:t>
      </w:r>
      <w:r w:rsidR="00CC081D">
        <w:t>“</w:t>
      </w:r>
      <w:r w:rsidR="00FA185A">
        <w:t>General and Specific Plans.</w:t>
      </w:r>
      <w:r w:rsidR="00CC081D">
        <w:t>”</w:t>
      </w:r>
      <w:r w:rsidR="00FA185A">
        <w:t xml:space="preserve"> </w:t>
      </w:r>
      <w:r w:rsidR="007F53A5">
        <w:t>T</w:t>
      </w:r>
      <w:r w:rsidR="00344963" w:rsidRPr="005A33DA">
        <w:t>he population</w:t>
      </w:r>
      <w:r w:rsidR="005A33DA">
        <w:t xml:space="preserve"> </w:t>
      </w:r>
      <w:r w:rsidR="00344963" w:rsidRPr="005A33DA">
        <w:t>projections presented in Section 1</w:t>
      </w:r>
      <w:r w:rsidR="005A33DA" w:rsidRPr="005A33DA">
        <w:t xml:space="preserve">2, </w:t>
      </w:r>
      <w:r w:rsidR="00CC081D">
        <w:t>“</w:t>
      </w:r>
      <w:r w:rsidR="005A33DA" w:rsidRPr="005A33DA">
        <w:t>Land Use Planning, Population and Housing</w:t>
      </w:r>
      <w:r w:rsidR="00CC081D">
        <w:t>”</w:t>
      </w:r>
      <w:r w:rsidR="007F53A5">
        <w:t xml:space="preserve"> are also considered as part of the cumulative context for development.</w:t>
      </w:r>
      <w:r w:rsidR="006F223D">
        <w:t xml:space="preserve"> </w:t>
      </w:r>
    </w:p>
    <w:p w14:paraId="5DDE98A2" w14:textId="1BB1779A" w:rsidR="0075062B" w:rsidRPr="000E01BE" w:rsidRDefault="0075062B" w:rsidP="003646BD">
      <w:pPr>
        <w:pStyle w:val="BodyText"/>
        <w:rPr>
          <w:spacing w:val="-1"/>
        </w:rPr>
      </w:pPr>
      <w:r w:rsidRPr="000E01BE">
        <w:rPr>
          <w:spacing w:val="-1"/>
        </w:rPr>
        <w:t xml:space="preserve">Land conversion in the state includes the conversion of natural lands to farmland and the subsequent conversion of farmland to urban and rural residential uses. Agricultural lands in the </w:t>
      </w:r>
      <w:r w:rsidR="006D1852" w:rsidRPr="000E01BE">
        <w:rPr>
          <w:spacing w:val="-1"/>
        </w:rPr>
        <w:t>s</w:t>
      </w:r>
      <w:r w:rsidR="007A564C" w:rsidRPr="000E01BE">
        <w:rPr>
          <w:spacing w:val="-1"/>
        </w:rPr>
        <w:t>tate</w:t>
      </w:r>
      <w:r w:rsidRPr="000E01BE">
        <w:rPr>
          <w:spacing w:val="-1"/>
        </w:rPr>
        <w:t xml:space="preserve"> represent an altered landscape that retains little resemblance to the historical (pre</w:t>
      </w:r>
      <w:r w:rsidRPr="000E01BE">
        <w:rPr>
          <w:rFonts w:ascii="Cambria Math" w:hAnsi="Cambria Math" w:cs="Cambria Math"/>
          <w:spacing w:val="-1"/>
        </w:rPr>
        <w:t>‐</w:t>
      </w:r>
      <w:r w:rsidRPr="000E01BE">
        <w:rPr>
          <w:spacing w:val="-1"/>
        </w:rPr>
        <w:t xml:space="preserve">European settlement) condition. Formerly consisting of extensive grasslands, wetlands, broad riparian systems, and oak woodlands, the conversion to agriculture has removed a large portion of these natural communities. In addition, the land disturbances associated with farming have contributed to sedimentation of waterways, </w:t>
      </w:r>
      <w:r w:rsidR="00C9177B" w:rsidRPr="000E01BE">
        <w:rPr>
          <w:spacing w:val="-1"/>
        </w:rPr>
        <w:t xml:space="preserve">increases in water demand, </w:t>
      </w:r>
      <w:r w:rsidRPr="000E01BE">
        <w:rPr>
          <w:spacing w:val="-1"/>
        </w:rPr>
        <w:t>and use of fertilizers and pesticides</w:t>
      </w:r>
      <w:r w:rsidR="00F86C31" w:rsidRPr="000E01BE">
        <w:rPr>
          <w:spacing w:val="-1"/>
        </w:rPr>
        <w:t xml:space="preserve">, degradation of </w:t>
      </w:r>
      <w:r w:rsidRPr="000E01BE">
        <w:rPr>
          <w:spacing w:val="-1"/>
        </w:rPr>
        <w:t xml:space="preserve">water </w:t>
      </w:r>
      <w:r w:rsidR="00F86C31" w:rsidRPr="000E01BE">
        <w:rPr>
          <w:spacing w:val="-1"/>
        </w:rPr>
        <w:t xml:space="preserve">quality, </w:t>
      </w:r>
      <w:r w:rsidRPr="000E01BE">
        <w:rPr>
          <w:spacing w:val="-1"/>
        </w:rPr>
        <w:t>and may have contributed (directly and indirectly) to species mortality.</w:t>
      </w:r>
      <w:r w:rsidR="00D171EA" w:rsidRPr="000E01BE">
        <w:rPr>
          <w:spacing w:val="-1"/>
        </w:rPr>
        <w:t xml:space="preserve"> </w:t>
      </w:r>
      <w:r w:rsidRPr="000E01BE">
        <w:rPr>
          <w:spacing w:val="-1"/>
        </w:rPr>
        <w:t xml:space="preserve">Similarly, grazing has altered or degraded habitat conditions for many species through conversion of some natural habitats to grassland and savannah, adverse effects on water quality, and promoting conditions for non-native plant species. However, appropriately managed grazing and rangeland can be compatible with the habitat needs many plant and wildlife species. </w:t>
      </w:r>
    </w:p>
    <w:p w14:paraId="2D607794" w14:textId="5B038085" w:rsidR="00B64673" w:rsidRPr="00D171EA" w:rsidRDefault="00B64673" w:rsidP="003646BD">
      <w:pPr>
        <w:pStyle w:val="BodyText"/>
      </w:pPr>
      <w:r>
        <w:t xml:space="preserve">Resource extraction has </w:t>
      </w:r>
      <w:r w:rsidR="006606FB">
        <w:t>contributed to cumulative effects throughout the state including habitat loss and degradation, hazards and hazardous waste contamination, air quality and GHG emissions, noise, traffic, erosion, sedimentation,</w:t>
      </w:r>
      <w:r w:rsidR="00302C91">
        <w:t xml:space="preserve"> alter</w:t>
      </w:r>
      <w:r w:rsidR="00325280">
        <w:t xml:space="preserve">ed </w:t>
      </w:r>
      <w:r w:rsidR="00302C91">
        <w:t>hydrology,</w:t>
      </w:r>
      <w:r w:rsidR="006606FB">
        <w:t xml:space="preserve"> and degradation of water quality.</w:t>
      </w:r>
      <w:r w:rsidR="00302C91">
        <w:t xml:space="preserve"> </w:t>
      </w:r>
      <w:r w:rsidR="00302C91" w:rsidRPr="00302C91">
        <w:t>The California gold rush and the resulting extensive immigration of miners and use of</w:t>
      </w:r>
      <w:r w:rsidR="00302C91">
        <w:t xml:space="preserve"> </w:t>
      </w:r>
      <w:r w:rsidR="00302C91" w:rsidRPr="00302C91">
        <w:t xml:space="preserve">hydraulic mining have had lasting cumulative </w:t>
      </w:r>
      <w:r w:rsidR="00325280">
        <w:t>effects</w:t>
      </w:r>
      <w:r w:rsidR="00302C91" w:rsidRPr="00302C91">
        <w:t xml:space="preserve"> on the water quality and biological</w:t>
      </w:r>
      <w:r w:rsidR="00302C91">
        <w:t xml:space="preserve"> </w:t>
      </w:r>
      <w:r w:rsidR="00302C91" w:rsidRPr="00302C91">
        <w:t xml:space="preserve">resources of </w:t>
      </w:r>
      <w:r w:rsidR="00325280">
        <w:t>the state</w:t>
      </w:r>
      <w:r w:rsidR="00302C91" w:rsidRPr="00302C91">
        <w:t xml:space="preserve">. </w:t>
      </w:r>
    </w:p>
    <w:p w14:paraId="5463370F" w14:textId="2E8BC787" w:rsidR="0075062B" w:rsidRDefault="0075062B" w:rsidP="003646BD">
      <w:pPr>
        <w:pStyle w:val="BodyText"/>
      </w:pPr>
      <w:r w:rsidRPr="00D171EA">
        <w:rPr>
          <w:spacing w:val="-2"/>
        </w:rPr>
        <w:t>Urba</w:t>
      </w:r>
      <w:r w:rsidR="007F53A5">
        <w:rPr>
          <w:spacing w:val="-2"/>
        </w:rPr>
        <w:t>n development</w:t>
      </w:r>
      <w:r w:rsidRPr="00D171EA">
        <w:rPr>
          <w:spacing w:val="-2"/>
        </w:rPr>
        <w:t xml:space="preserve"> has also resulted in </w:t>
      </w:r>
      <w:r w:rsidR="00D171EA">
        <w:rPr>
          <w:spacing w:val="-2"/>
        </w:rPr>
        <w:t xml:space="preserve">direct and </w:t>
      </w:r>
      <w:r w:rsidRPr="00D171EA">
        <w:rPr>
          <w:spacing w:val="-2"/>
        </w:rPr>
        <w:t xml:space="preserve">indirect effects </w:t>
      </w:r>
      <w:r w:rsidR="00D171EA">
        <w:rPr>
          <w:spacing w:val="-2"/>
        </w:rPr>
        <w:t xml:space="preserve">related </w:t>
      </w:r>
      <w:r w:rsidRPr="00D171EA">
        <w:rPr>
          <w:spacing w:val="-2"/>
        </w:rPr>
        <w:t xml:space="preserve">to </w:t>
      </w:r>
      <w:r w:rsidR="00D171EA">
        <w:rPr>
          <w:spacing w:val="-2"/>
        </w:rPr>
        <w:t>habitat loss, air quality and GHG emissions, degradation of water quality</w:t>
      </w:r>
      <w:r w:rsidR="00E20CA4">
        <w:rPr>
          <w:spacing w:val="-2"/>
        </w:rPr>
        <w:t>,</w:t>
      </w:r>
      <w:r w:rsidR="00D171EA">
        <w:rPr>
          <w:spacing w:val="-2"/>
        </w:rPr>
        <w:t xml:space="preserve"> increased runoff, </w:t>
      </w:r>
      <w:r w:rsidRPr="00D171EA">
        <w:rPr>
          <w:spacing w:val="-2"/>
        </w:rPr>
        <w:t>noise,</w:t>
      </w:r>
      <w:r w:rsidR="00302C91">
        <w:rPr>
          <w:spacing w:val="-2"/>
        </w:rPr>
        <w:t xml:space="preserve"> traffic, and</w:t>
      </w:r>
      <w:r w:rsidR="00D171EA">
        <w:rPr>
          <w:spacing w:val="-2"/>
        </w:rPr>
        <w:t xml:space="preserve"> </w:t>
      </w:r>
      <w:r w:rsidR="00302C91">
        <w:rPr>
          <w:spacing w:val="-2"/>
        </w:rPr>
        <w:t>increased water demand and energy consumption</w:t>
      </w:r>
      <w:r w:rsidRPr="00D171EA">
        <w:rPr>
          <w:spacing w:val="-2"/>
        </w:rPr>
        <w:t xml:space="preserve">. </w:t>
      </w:r>
      <w:r w:rsidRPr="00D171EA">
        <w:t xml:space="preserve">Urban development in the </w:t>
      </w:r>
      <w:r w:rsidR="00762402" w:rsidRPr="00D171EA">
        <w:t>s</w:t>
      </w:r>
      <w:r w:rsidR="007A564C" w:rsidRPr="00D171EA">
        <w:t>tate</w:t>
      </w:r>
      <w:r w:rsidRPr="00D171EA">
        <w:t xml:space="preserve"> has been accompanied by the development of infrastructure </w:t>
      </w:r>
      <w:r w:rsidR="000939C3">
        <w:t xml:space="preserve">and </w:t>
      </w:r>
      <w:r w:rsidR="00B64673">
        <w:t xml:space="preserve">transportation projects </w:t>
      </w:r>
      <w:r w:rsidRPr="00D171EA">
        <w:t>to support these land uses</w:t>
      </w:r>
      <w:r w:rsidR="00762402" w:rsidRPr="00D171EA">
        <w:t xml:space="preserve"> including water supply development, dams, underground and overhead utilities</w:t>
      </w:r>
      <w:r w:rsidR="00D171EA">
        <w:t xml:space="preserve">, </w:t>
      </w:r>
      <w:r w:rsidR="00B64673">
        <w:t xml:space="preserve">and roadways </w:t>
      </w:r>
      <w:r w:rsidR="00D171EA">
        <w:t xml:space="preserve">which have similar effects </w:t>
      </w:r>
      <w:r w:rsidR="00B64673">
        <w:t>as those described above for</w:t>
      </w:r>
      <w:r w:rsidR="00D171EA">
        <w:t xml:space="preserve"> urbanization</w:t>
      </w:r>
      <w:r w:rsidR="00762402" w:rsidRPr="00D171EA">
        <w:t>.</w:t>
      </w:r>
    </w:p>
    <w:p w14:paraId="630E80B0" w14:textId="07FCE5E2" w:rsidR="00302C91" w:rsidRPr="00D171EA" w:rsidRDefault="00F82FBF" w:rsidP="003646BD">
      <w:pPr>
        <w:pStyle w:val="BodyText"/>
        <w:rPr>
          <w:spacing w:val="-2"/>
        </w:rPr>
      </w:pPr>
      <w:r>
        <w:t>P</w:t>
      </w:r>
      <w:r w:rsidR="00302C91">
        <w:t>ast fire suppression and vegetation management activities are described further below</w:t>
      </w:r>
      <w:r w:rsidR="00AC5EB8">
        <w:t xml:space="preserve"> (e.g., Section 4.3.1)</w:t>
      </w:r>
      <w:r w:rsidR="00302C91">
        <w:t>.</w:t>
      </w:r>
    </w:p>
    <w:p w14:paraId="4969FCEA" w14:textId="69301648" w:rsidR="00ED0285" w:rsidRDefault="00ED0285" w:rsidP="00ED0285">
      <w:pPr>
        <w:pStyle w:val="Heading2"/>
      </w:pPr>
      <w:bookmarkStart w:id="6" w:name="_Toc23838582"/>
      <w:r>
        <w:t>Related Projects and Plans</w:t>
      </w:r>
      <w:bookmarkEnd w:id="6"/>
    </w:p>
    <w:p w14:paraId="32A20E8F" w14:textId="4145D2AB" w:rsidR="00831530" w:rsidRDefault="00831530" w:rsidP="00476729">
      <w:pPr>
        <w:pStyle w:val="BodyText"/>
      </w:pPr>
      <w:r w:rsidRPr="004C1EA2">
        <w:t>Because t</w:t>
      </w:r>
      <w:r w:rsidRPr="00E57F03">
        <w:t xml:space="preserve">he CalVTP is statewide, </w:t>
      </w:r>
      <w:r w:rsidR="00187163">
        <w:t>various</w:t>
      </w:r>
      <w:r w:rsidRPr="00E57F03">
        <w:t xml:space="preserve"> </w:t>
      </w:r>
      <w:r w:rsidR="002D1AD0">
        <w:t xml:space="preserve">plans, </w:t>
      </w:r>
      <w:r w:rsidR="00A50E61">
        <w:t>projects</w:t>
      </w:r>
      <w:r w:rsidRPr="00E57F03">
        <w:t xml:space="preserve">, and </w:t>
      </w:r>
      <w:r w:rsidR="002D1AD0">
        <w:t xml:space="preserve">activities </w:t>
      </w:r>
      <w:r w:rsidRPr="00E57F03">
        <w:t xml:space="preserve">that occur throughout the state </w:t>
      </w:r>
      <w:r w:rsidR="00187163">
        <w:t>are considered in</w:t>
      </w:r>
      <w:r w:rsidRPr="00E57F03">
        <w:t xml:space="preserve"> the cumulative analysis because they affect </w:t>
      </w:r>
      <w:r w:rsidR="00EA24D6">
        <w:t>environmental</w:t>
      </w:r>
      <w:r w:rsidR="00EA24D6" w:rsidRPr="00E57F03">
        <w:t xml:space="preserve"> </w:t>
      </w:r>
      <w:r w:rsidRPr="00E57F03">
        <w:t xml:space="preserve">conditions on a statewide basis. </w:t>
      </w:r>
    </w:p>
    <w:p w14:paraId="44B5C57B" w14:textId="2F3D9C25" w:rsidR="00345BBE" w:rsidRPr="009B20CE" w:rsidRDefault="00831530" w:rsidP="00476729">
      <w:pPr>
        <w:pStyle w:val="BodyText"/>
        <w:rPr>
          <w:highlight w:val="yellow"/>
        </w:rPr>
      </w:pPr>
      <w:r w:rsidRPr="0040556C">
        <w:lastRenderedPageBreak/>
        <w:t xml:space="preserve">Recognizing that a broad range of activities can affect vegetation, the CalVTP cumulative effects analysis focuses on those </w:t>
      </w:r>
      <w:r w:rsidRPr="00677355">
        <w:t xml:space="preserve">past, present, and </w:t>
      </w:r>
      <w:r w:rsidR="00E64DD5">
        <w:t xml:space="preserve">probable </w:t>
      </w:r>
      <w:r w:rsidRPr="00677355">
        <w:t xml:space="preserve">future </w:t>
      </w:r>
      <w:r>
        <w:t>activities</w:t>
      </w:r>
      <w:r w:rsidRPr="00677355">
        <w:t xml:space="preserve"> that have </w:t>
      </w:r>
      <w:r w:rsidR="00345BBE" w:rsidRPr="00677355">
        <w:t xml:space="preserve">effects </w:t>
      </w:r>
      <w:r w:rsidR="00345BBE">
        <w:t xml:space="preserve">similar to those of </w:t>
      </w:r>
      <w:r w:rsidR="00345BBE" w:rsidRPr="00677355">
        <w:t xml:space="preserve">the </w:t>
      </w:r>
      <w:r w:rsidR="00345BBE">
        <w:t xml:space="preserve">proposed </w:t>
      </w:r>
      <w:r w:rsidR="00345BBE" w:rsidRPr="00022390">
        <w:t>CalVTP</w:t>
      </w:r>
      <w:r w:rsidR="00345BBE">
        <w:t>, including those within and outside the treatable landscape that affect the same resources as the CalVTP</w:t>
      </w:r>
      <w:r w:rsidR="00345BBE" w:rsidRPr="00022390">
        <w:t xml:space="preserve">. </w:t>
      </w:r>
    </w:p>
    <w:p w14:paraId="62B95734" w14:textId="118C66F9" w:rsidR="00831530" w:rsidRPr="00677355" w:rsidRDefault="00345BBE" w:rsidP="00476729">
      <w:pPr>
        <w:pStyle w:val="BodyText"/>
        <w:rPr>
          <w:rFonts w:eastAsia="Times New Roman"/>
        </w:rPr>
      </w:pPr>
      <w:r>
        <w:rPr>
          <w:rFonts w:eastAsia="Times New Roman"/>
        </w:rPr>
        <w:t>R</w:t>
      </w:r>
      <w:r w:rsidRPr="00677355">
        <w:rPr>
          <w:rFonts w:eastAsia="Times New Roman"/>
        </w:rPr>
        <w:t xml:space="preserve">elated </w:t>
      </w:r>
      <w:r>
        <w:rPr>
          <w:rFonts w:eastAsia="Times New Roman"/>
        </w:rPr>
        <w:t>past, present, and reasonably foreseeable probable future activities, projects, and plans</w:t>
      </w:r>
      <w:r w:rsidRPr="00677355">
        <w:rPr>
          <w:rFonts w:eastAsia="Times New Roman"/>
        </w:rPr>
        <w:t xml:space="preserve"> considered for the CalVTP cumulative effects </w:t>
      </w:r>
      <w:r>
        <w:rPr>
          <w:rFonts w:eastAsia="Times New Roman"/>
        </w:rPr>
        <w:t xml:space="preserve">analysis </w:t>
      </w:r>
      <w:r w:rsidRPr="00677355">
        <w:rPr>
          <w:rFonts w:eastAsia="Times New Roman"/>
        </w:rPr>
        <w:t>include</w:t>
      </w:r>
      <w:r>
        <w:rPr>
          <w:rFonts w:eastAsia="Times New Roman"/>
        </w:rPr>
        <w:t xml:space="preserve"> the following, each of which is described in the sections that follow</w:t>
      </w:r>
      <w:r w:rsidR="00A954D2">
        <w:rPr>
          <w:rFonts w:eastAsia="Times New Roman"/>
        </w:rPr>
        <w:t>. Each of the plans, projects, and activities considered below includes a discussion of past, present, and reasonably foreseeable activities as applicable.</w:t>
      </w:r>
    </w:p>
    <w:p w14:paraId="7B53480B" w14:textId="2C13351C" w:rsidR="00831530" w:rsidRDefault="00766F84" w:rsidP="00831530">
      <w:pPr>
        <w:pStyle w:val="Bullet1"/>
      </w:pPr>
      <w:r>
        <w:t xml:space="preserve">implementation </w:t>
      </w:r>
      <w:r w:rsidR="009B6A71">
        <w:t>of historic f</w:t>
      </w:r>
      <w:r w:rsidR="00831530">
        <w:t xml:space="preserve">ire </w:t>
      </w:r>
      <w:r w:rsidR="009B6A71">
        <w:t>s</w:t>
      </w:r>
      <w:r w:rsidR="00831530">
        <w:t xml:space="preserve">uppression </w:t>
      </w:r>
      <w:r w:rsidR="009B6A71">
        <w:t>p</w:t>
      </w:r>
      <w:r w:rsidR="00831530">
        <w:t>ractices</w:t>
      </w:r>
      <w:r w:rsidR="009B6A71">
        <w:t>, particularly coupled with an absence of vegetation treatment in some wildland areas</w:t>
      </w:r>
      <w:r w:rsidR="00831530">
        <w:t>;</w:t>
      </w:r>
    </w:p>
    <w:p w14:paraId="44FFCC40" w14:textId="24CB3050" w:rsidR="00831530" w:rsidRDefault="00766F84" w:rsidP="00831530">
      <w:pPr>
        <w:pStyle w:val="Bullet1"/>
      </w:pPr>
      <w:r>
        <w:t xml:space="preserve">treatments </w:t>
      </w:r>
      <w:r w:rsidR="009B6A71">
        <w:t>conducted under CAL FIRE</w:t>
      </w:r>
      <w:r w:rsidR="00CC081D">
        <w:t>’</w:t>
      </w:r>
      <w:r w:rsidR="009B6A71">
        <w:t xml:space="preserve">s </w:t>
      </w:r>
      <w:r w:rsidR="00C12C38" w:rsidRPr="00812305">
        <w:t>Chaparral Management Program (CMP)</w:t>
      </w:r>
      <w:r w:rsidR="00C12C38">
        <w:t xml:space="preserve">, </w:t>
      </w:r>
      <w:r w:rsidR="00C12C38" w:rsidRPr="003B48D5">
        <w:t>now known</w:t>
      </w:r>
      <w:r w:rsidR="00C12C38">
        <w:t xml:space="preserve">, in part, as the </w:t>
      </w:r>
      <w:r w:rsidR="00831530" w:rsidRPr="00677355">
        <w:t>Vegetation Management Program</w:t>
      </w:r>
      <w:r w:rsidR="00831530">
        <w:t xml:space="preserve"> (VMP)</w:t>
      </w:r>
      <w:r w:rsidR="00831530" w:rsidRPr="00677355">
        <w:t>;</w:t>
      </w:r>
    </w:p>
    <w:p w14:paraId="244B8FA3" w14:textId="7F3AD4D7" w:rsidR="00831530" w:rsidRDefault="00766F84" w:rsidP="00831530">
      <w:pPr>
        <w:pStyle w:val="Bullet1"/>
      </w:pPr>
      <w:r>
        <w:t xml:space="preserve">treatments </w:t>
      </w:r>
      <w:r w:rsidR="009B6A71">
        <w:t>conducted under CAL FIRE</w:t>
      </w:r>
      <w:r w:rsidR="00CC081D">
        <w:t>’</w:t>
      </w:r>
      <w:r w:rsidR="009B6A71">
        <w:t xml:space="preserve">s </w:t>
      </w:r>
      <w:r w:rsidR="00831530" w:rsidRPr="001E63BB">
        <w:t>California Forest Improvement Program (CFIP)</w:t>
      </w:r>
      <w:r w:rsidR="00831530">
        <w:t>;</w:t>
      </w:r>
    </w:p>
    <w:p w14:paraId="1278DA47" w14:textId="2E400ED4" w:rsidR="00C00E99" w:rsidRDefault="00766F84" w:rsidP="00831530">
      <w:pPr>
        <w:pStyle w:val="Bullet1"/>
      </w:pPr>
      <w:r w:rsidRPr="00D91A61">
        <w:t xml:space="preserve">vegetation </w:t>
      </w:r>
      <w:r w:rsidR="00C00E99" w:rsidRPr="00D91A61">
        <w:t xml:space="preserve">treatment activities </w:t>
      </w:r>
      <w:r w:rsidR="00C00E99">
        <w:t>implemented</w:t>
      </w:r>
      <w:r w:rsidR="00C00E99" w:rsidRPr="00D91A61">
        <w:t xml:space="preserve"> </w:t>
      </w:r>
      <w:r w:rsidR="00C00E99">
        <w:t>by agencies other than CAL FIRE</w:t>
      </w:r>
      <w:r w:rsidR="00C00E99" w:rsidRPr="00D91A61">
        <w:t>;</w:t>
      </w:r>
    </w:p>
    <w:p w14:paraId="01D238A2" w14:textId="26F3A1AC" w:rsidR="00831530" w:rsidRDefault="00766F84" w:rsidP="00345BBE">
      <w:pPr>
        <w:pStyle w:val="Bullet1"/>
      </w:pPr>
      <w:r w:rsidRPr="00677355">
        <w:t xml:space="preserve">timber </w:t>
      </w:r>
      <w:r w:rsidR="00345BBE">
        <w:t>h</w:t>
      </w:r>
      <w:r w:rsidR="00345BBE" w:rsidRPr="00677355">
        <w:t>arves</w:t>
      </w:r>
      <w:r w:rsidR="00345BBE">
        <w:t>ting;</w:t>
      </w:r>
    </w:p>
    <w:p w14:paraId="78D35F36" w14:textId="42675499" w:rsidR="00831530" w:rsidRDefault="00766F84" w:rsidP="00831530">
      <w:pPr>
        <w:pStyle w:val="Bullet1"/>
      </w:pPr>
      <w:r>
        <w:t xml:space="preserve">implementation </w:t>
      </w:r>
      <w:r w:rsidR="009B6A71">
        <w:t xml:space="preserve">of vegetation management practices consistent with </w:t>
      </w:r>
      <w:r w:rsidR="00831530">
        <w:t xml:space="preserve">Public Resources Code </w:t>
      </w:r>
      <w:r w:rsidR="00186127">
        <w:t xml:space="preserve">(PRC) </w:t>
      </w:r>
      <w:r w:rsidR="00831530">
        <w:t>4291 – Defensible Space;</w:t>
      </w:r>
    </w:p>
    <w:p w14:paraId="5F837119" w14:textId="5CFF5499" w:rsidR="00831530" w:rsidRPr="00D91A61" w:rsidRDefault="00766F84" w:rsidP="00AC5EB8">
      <w:pPr>
        <w:pStyle w:val="Bullet1"/>
      </w:pPr>
      <w:r>
        <w:t xml:space="preserve">ongoing </w:t>
      </w:r>
      <w:r w:rsidR="009B6A71">
        <w:t xml:space="preserve">management of </w:t>
      </w:r>
      <w:r w:rsidR="00831530">
        <w:t>CAL FIRE demonstration forests;</w:t>
      </w:r>
    </w:p>
    <w:p w14:paraId="5096B249" w14:textId="7925F444" w:rsidR="00831530" w:rsidRDefault="00766F84" w:rsidP="00831530">
      <w:pPr>
        <w:pStyle w:val="Bullet1"/>
      </w:pPr>
      <w:r>
        <w:t xml:space="preserve">implementation </w:t>
      </w:r>
      <w:r w:rsidR="009B6A71">
        <w:t xml:space="preserve">of </w:t>
      </w:r>
      <w:r w:rsidR="00831530" w:rsidRPr="00D91A61">
        <w:t>E</w:t>
      </w:r>
      <w:r w:rsidR="00852127">
        <w:t xml:space="preserve">xecutive </w:t>
      </w:r>
      <w:r w:rsidR="00831530" w:rsidRPr="00D91A61">
        <w:t>O</w:t>
      </w:r>
      <w:r w:rsidR="00852127">
        <w:t>rder (EO)</w:t>
      </w:r>
      <w:r w:rsidR="00831530" w:rsidRPr="00D91A61">
        <w:t xml:space="preserve"> B-42-17</w:t>
      </w:r>
      <w:r w:rsidR="00AB0F68">
        <w:t xml:space="preserve"> and other actions to address tree mortality in California</w:t>
      </w:r>
      <w:r w:rsidR="00831530" w:rsidRPr="00D91A61">
        <w:t>;</w:t>
      </w:r>
    </w:p>
    <w:p w14:paraId="1A21AAF0" w14:textId="0FC44709" w:rsidR="00FD593E" w:rsidRDefault="00766F84" w:rsidP="00831530">
      <w:pPr>
        <w:pStyle w:val="Bullet1"/>
      </w:pPr>
      <w:r>
        <w:t xml:space="preserve">implementation </w:t>
      </w:r>
      <w:r w:rsidR="00FD593E">
        <w:t xml:space="preserve">of EO N-05-19 to address </w:t>
      </w:r>
      <w:r w:rsidR="00FD593E" w:rsidRPr="00C106E9">
        <w:t>immediate, medium and long-term actions to help prevent destructive wildfires</w:t>
      </w:r>
      <w:r w:rsidR="00FD593E">
        <w:t xml:space="preserve"> including 35 priority projects for fuel reduction;</w:t>
      </w:r>
    </w:p>
    <w:p w14:paraId="3218D4FA" w14:textId="0F06664D" w:rsidR="00C00E99" w:rsidRPr="00D91A61" w:rsidRDefault="00C00E99" w:rsidP="00C00E99">
      <w:pPr>
        <w:pStyle w:val="Bullet1"/>
      </w:pPr>
      <w:r>
        <w:t xml:space="preserve">California 2030 </w:t>
      </w:r>
      <w:r w:rsidRPr="001E2941">
        <w:t xml:space="preserve">Natural </w:t>
      </w:r>
      <w:r>
        <w:t>and W</w:t>
      </w:r>
      <w:r w:rsidRPr="001E2941">
        <w:t xml:space="preserve">orking </w:t>
      </w:r>
      <w:r>
        <w:t>L</w:t>
      </w:r>
      <w:r w:rsidRPr="001E2941">
        <w:t xml:space="preserve">ands </w:t>
      </w:r>
      <w:r>
        <w:t>Climate Change Implementation P</w:t>
      </w:r>
      <w:r w:rsidRPr="001E2941">
        <w:t>lan;</w:t>
      </w:r>
    </w:p>
    <w:p w14:paraId="40426B11" w14:textId="4AC00776" w:rsidR="00831530" w:rsidRDefault="00766F84" w:rsidP="00831530">
      <w:pPr>
        <w:pStyle w:val="Bullet1"/>
      </w:pPr>
      <w:r>
        <w:t xml:space="preserve">implementation </w:t>
      </w:r>
      <w:r w:rsidR="00AB0F68">
        <w:t xml:space="preserve">of </w:t>
      </w:r>
      <w:r w:rsidR="00AB0F68" w:rsidRPr="00AB0F68">
        <w:t xml:space="preserve">collaborative efforts to address forest health and resilience at the landscape level pursuant to the recommendations of the </w:t>
      </w:r>
      <w:r w:rsidR="00831530">
        <w:t>California Forest Carbon Plan;</w:t>
      </w:r>
    </w:p>
    <w:p w14:paraId="0C728AAB" w14:textId="2A043396" w:rsidR="00831530" w:rsidRDefault="00766F84" w:rsidP="00345BBE">
      <w:pPr>
        <w:pStyle w:val="Bullet1"/>
      </w:pPr>
      <w:r>
        <w:t xml:space="preserve">development </w:t>
      </w:r>
      <w:r w:rsidR="00345BBE">
        <w:t>directed by general plans and specific plans of local agencies</w:t>
      </w:r>
      <w:r w:rsidR="00345BBE" w:rsidRPr="00677355">
        <w:t>;</w:t>
      </w:r>
      <w:r w:rsidR="00CC081D">
        <w:t xml:space="preserve"> </w:t>
      </w:r>
    </w:p>
    <w:p w14:paraId="213E8842" w14:textId="56BF3B8E" w:rsidR="00831530" w:rsidRDefault="00766F84" w:rsidP="00831530">
      <w:pPr>
        <w:pStyle w:val="Bullet1"/>
      </w:pPr>
      <w:r>
        <w:t xml:space="preserve">regional </w:t>
      </w:r>
      <w:r w:rsidR="00AB0F68">
        <w:t>habitat conservation directed by approved h</w:t>
      </w:r>
      <w:r w:rsidR="00831530">
        <w:t xml:space="preserve">abitat </w:t>
      </w:r>
      <w:r w:rsidR="00AB0F68">
        <w:t>c</w:t>
      </w:r>
      <w:r w:rsidR="00831530">
        <w:t xml:space="preserve">onservation </w:t>
      </w:r>
      <w:r w:rsidR="00AB0F68">
        <w:t>p</w:t>
      </w:r>
      <w:r w:rsidR="00831530">
        <w:t>lans</w:t>
      </w:r>
      <w:r w:rsidR="00186127">
        <w:t xml:space="preserve"> and</w:t>
      </w:r>
      <w:r w:rsidR="00831530">
        <w:t xml:space="preserve"> </w:t>
      </w:r>
      <w:r w:rsidR="00AB0F68">
        <w:t>n</w:t>
      </w:r>
      <w:r w:rsidR="00831530">
        <w:t xml:space="preserve">atural </w:t>
      </w:r>
      <w:r w:rsidR="00AB0F68">
        <w:t>c</w:t>
      </w:r>
      <w:r w:rsidR="00831530">
        <w:t xml:space="preserve">ommunity </w:t>
      </w:r>
      <w:r w:rsidR="00AB0F68">
        <w:t>c</w:t>
      </w:r>
      <w:r w:rsidR="00831530">
        <w:t xml:space="preserve">onservation </w:t>
      </w:r>
      <w:r w:rsidR="00AB0F68">
        <w:t>p</w:t>
      </w:r>
      <w:r w:rsidR="00831530">
        <w:t>lans; and</w:t>
      </w:r>
    </w:p>
    <w:p w14:paraId="76FE000C" w14:textId="569EFCF5" w:rsidR="00831530" w:rsidRDefault="00766F84" w:rsidP="00831530">
      <w:pPr>
        <w:pStyle w:val="Bullet1"/>
      </w:pPr>
      <w:r>
        <w:t xml:space="preserve">land </w:t>
      </w:r>
      <w:r w:rsidR="00AB0F68">
        <w:t xml:space="preserve">management practices governed by </w:t>
      </w:r>
      <w:r w:rsidR="00831530">
        <w:t xml:space="preserve">State </w:t>
      </w:r>
      <w:r w:rsidR="00AB0F68">
        <w:t>a</w:t>
      </w:r>
      <w:r w:rsidR="00831530">
        <w:t xml:space="preserve">gency </w:t>
      </w:r>
      <w:r w:rsidR="00AB0F68">
        <w:t>l</w:t>
      </w:r>
      <w:r w:rsidR="00831530">
        <w:t xml:space="preserve">and </w:t>
      </w:r>
      <w:r w:rsidR="00AB0F68">
        <w:t>u</w:t>
      </w:r>
      <w:r w:rsidR="00831530">
        <w:t xml:space="preserve">se </w:t>
      </w:r>
      <w:r w:rsidR="00AB0F68">
        <w:t>p</w:t>
      </w:r>
      <w:r w:rsidR="00831530">
        <w:t xml:space="preserve">lans. </w:t>
      </w:r>
    </w:p>
    <w:p w14:paraId="0954D5C8" w14:textId="77777777" w:rsidR="00831530" w:rsidRPr="00DC2147" w:rsidRDefault="00831530" w:rsidP="00EC65E8">
      <w:pPr>
        <w:pStyle w:val="Heading3"/>
      </w:pPr>
      <w:r w:rsidRPr="00DC2147">
        <w:t>Past Fire Suppression Practices</w:t>
      </w:r>
    </w:p>
    <w:p w14:paraId="169A123B" w14:textId="7B8B3312" w:rsidR="00831530" w:rsidRDefault="00831530" w:rsidP="00831530">
      <w:pPr>
        <w:pStyle w:val="BodyText12ptbefore"/>
        <w:rPr>
          <w:highlight w:val="yellow"/>
        </w:rPr>
      </w:pPr>
      <w:r w:rsidRPr="00782EAB">
        <w:t>Fire is a primary driving force that has shaped California</w:t>
      </w:r>
      <w:r w:rsidR="00CC081D">
        <w:t>’</w:t>
      </w:r>
      <w:r w:rsidRPr="00782EAB">
        <w:t xml:space="preserve">s ecosystems for millennia, recurring at varying intervals in virtually all vegetation types. It is estimated that </w:t>
      </w:r>
      <w:r w:rsidR="00985418">
        <w:t xml:space="preserve">approximately </w:t>
      </w:r>
      <w:r w:rsidRPr="00782EAB">
        <w:t>4.5 million acres burned annually prior to Euro-American settlement, although there was significant variability in pre-settlement fire regimes across vegetation types and regions</w:t>
      </w:r>
      <w:r w:rsidR="00A87BD9">
        <w:t xml:space="preserve"> </w:t>
      </w:r>
      <w:r w:rsidR="00A87BD9" w:rsidRPr="00C135CD">
        <w:t>(</w:t>
      </w:r>
      <w:r w:rsidR="0089239B" w:rsidRPr="00C135CD">
        <w:t>Board and CAL FIRE 2018)</w:t>
      </w:r>
      <w:r w:rsidRPr="00C135CD">
        <w:t>.</w:t>
      </w:r>
      <w:r w:rsidRPr="00782EAB">
        <w:t xml:space="preserve"> </w:t>
      </w:r>
    </w:p>
    <w:p w14:paraId="2FBA1A3B" w14:textId="769FD15A" w:rsidR="00831530" w:rsidRPr="005636D6" w:rsidRDefault="00E66AB6" w:rsidP="00831530">
      <w:pPr>
        <w:pStyle w:val="BodyText12ptbefore"/>
        <w:rPr>
          <w:highlight w:val="yellow"/>
        </w:rPr>
      </w:pPr>
      <w:r>
        <w:t xml:space="preserve">As described in Section 3.17, </w:t>
      </w:r>
      <w:r w:rsidR="00CC081D">
        <w:t>“</w:t>
      </w:r>
      <w:r>
        <w:t>Wildfire,</w:t>
      </w:r>
      <w:r w:rsidR="00CC081D">
        <w:t>”</w:t>
      </w:r>
      <w:r>
        <w:t xml:space="preserve"> t</w:t>
      </w:r>
      <w:r w:rsidRPr="008C7316">
        <w:t>he legacy land management practice of fire suppression has led to a buildup of forest fuels and an increase in the occurrence and threat of large, severe fires (Westerling et al. 2006). With the expansion of the WUI and the threat that large, severe, intense wildfires pose, fire suppression remains</w:t>
      </w:r>
      <w:r>
        <w:t xml:space="preserve"> one of</w:t>
      </w:r>
      <w:r w:rsidRPr="008C7316">
        <w:t xml:space="preserve"> the </w:t>
      </w:r>
      <w:r>
        <w:t xml:space="preserve">primary </w:t>
      </w:r>
      <w:r w:rsidRPr="008C7316">
        <w:t>management technique</w:t>
      </w:r>
      <w:r>
        <w:t>s</w:t>
      </w:r>
      <w:r w:rsidRPr="008C7316">
        <w:t xml:space="preserve"> for more than 95 percent of wildfires in the U.S. (</w:t>
      </w:r>
      <w:proofErr w:type="spellStart"/>
      <w:r w:rsidRPr="008C7316">
        <w:t>Schoennagel</w:t>
      </w:r>
      <w:proofErr w:type="spellEnd"/>
      <w:r w:rsidRPr="008C7316">
        <w:t xml:space="preserve"> et al. 2017). </w:t>
      </w:r>
      <w:r w:rsidR="000153DC">
        <w:t>Current fire suppression practices and other land management practices have resulted in</w:t>
      </w:r>
      <w:r w:rsidR="00831530">
        <w:t xml:space="preserve"> a marked change in natural fire regimes related to land management practices and fire suppression. </w:t>
      </w:r>
      <w:r w:rsidR="005549EF">
        <w:t xml:space="preserve">By excluding and suppressing wildfire, many ecosystems have become </w:t>
      </w:r>
      <w:r w:rsidR="005549EF" w:rsidRPr="0090087B">
        <w:t>degraded, damaged, or destroyed</w:t>
      </w:r>
      <w:r w:rsidR="005549EF">
        <w:t xml:space="preserve"> and native fire-adapted plant communities have been replaced with </w:t>
      </w:r>
      <w:r w:rsidR="005549EF" w:rsidRPr="00861A0B">
        <w:t>invasive or non-native species</w:t>
      </w:r>
      <w:r w:rsidR="005549EF">
        <w:t xml:space="preserve">. </w:t>
      </w:r>
      <w:r w:rsidR="00831530">
        <w:t xml:space="preserve">The disruption of fire regimes within ecosystems </w:t>
      </w:r>
      <w:r w:rsidR="005549EF" w:rsidRPr="0090087B">
        <w:t xml:space="preserve">leads to changes in plant composition and structure, hydrologic processes, </w:t>
      </w:r>
      <w:r w:rsidR="005549EF">
        <w:t xml:space="preserve">resistance to pests, </w:t>
      </w:r>
      <w:r w:rsidR="005549EF" w:rsidRPr="0090087B">
        <w:t xml:space="preserve">and </w:t>
      </w:r>
      <w:r w:rsidR="005549EF">
        <w:t>alters</w:t>
      </w:r>
      <w:r w:rsidR="005549EF" w:rsidRPr="0090087B">
        <w:t xml:space="preserve"> fire behavior</w:t>
      </w:r>
      <w:r w:rsidR="005549EF">
        <w:t xml:space="preserve"> and </w:t>
      </w:r>
      <w:r w:rsidR="005549EF" w:rsidRPr="0090087B">
        <w:t xml:space="preserve">smoke </w:t>
      </w:r>
      <w:r w:rsidR="005549EF">
        <w:lastRenderedPageBreak/>
        <w:t>impacts</w:t>
      </w:r>
      <w:r w:rsidR="005549EF" w:rsidRPr="00963F30">
        <w:t>.</w:t>
      </w:r>
      <w:r w:rsidR="005549EF">
        <w:t xml:space="preserve"> These changes </w:t>
      </w:r>
      <w:r w:rsidR="00831530">
        <w:t>ha</w:t>
      </w:r>
      <w:r w:rsidR="005549EF">
        <w:t>ve</w:t>
      </w:r>
      <w:r w:rsidR="00831530">
        <w:t xml:space="preserve"> created conditions across California that, in concert with climate change and expanding development, are manifesting themselves in the form of increased wildland fire impacts, with ecological, economic</w:t>
      </w:r>
      <w:r w:rsidR="006B20C8">
        <w:t>,</w:t>
      </w:r>
      <w:r w:rsidR="00831530">
        <w:t xml:space="preserve"> and human </w:t>
      </w:r>
      <w:r w:rsidR="00831530" w:rsidRPr="00307DD0">
        <w:t>consequences (Board</w:t>
      </w:r>
      <w:r w:rsidR="00F53F2D">
        <w:t xml:space="preserve"> and CAL FIRE</w:t>
      </w:r>
      <w:r w:rsidR="00831530" w:rsidRPr="00307DD0">
        <w:t xml:space="preserve"> 2018).</w:t>
      </w:r>
      <w:r w:rsidR="005549EF">
        <w:t xml:space="preserve"> </w:t>
      </w:r>
    </w:p>
    <w:p w14:paraId="118D1723" w14:textId="657D38CF" w:rsidR="00831530" w:rsidRDefault="008B464B" w:rsidP="00EC65E8">
      <w:pPr>
        <w:pStyle w:val="Heading3"/>
      </w:pPr>
      <w:r>
        <w:t xml:space="preserve">CAL FIRE </w:t>
      </w:r>
      <w:r w:rsidR="00831530">
        <w:t>Vegetation Management Program</w:t>
      </w:r>
    </w:p>
    <w:p w14:paraId="6CBD5B0D" w14:textId="3DB9CEF9" w:rsidR="00831530" w:rsidRPr="003E5F36" w:rsidRDefault="00831530" w:rsidP="003467B4">
      <w:pPr>
        <w:pStyle w:val="BodyText"/>
        <w:rPr>
          <w:rFonts w:eastAsia="Times New Roman"/>
          <w:highlight w:val="yellow"/>
        </w:rPr>
      </w:pPr>
      <w:r w:rsidRPr="00595F2A">
        <w:t xml:space="preserve">The VMP is a cost-sharing program that focuses on the use of prescribed </w:t>
      </w:r>
      <w:r w:rsidR="002764E7">
        <w:t>burning</w:t>
      </w:r>
      <w:r w:rsidRPr="00595F2A">
        <w:t xml:space="preserve">, manual, and mechanical </w:t>
      </w:r>
      <w:r w:rsidR="006B20C8">
        <w:t>treatments</w:t>
      </w:r>
      <w:r w:rsidRPr="00595F2A">
        <w:t xml:space="preserve"> for </w:t>
      </w:r>
      <w:r w:rsidR="000153DC">
        <w:t>reducing</w:t>
      </w:r>
      <w:r w:rsidR="000153DC" w:rsidRPr="00595F2A">
        <w:t xml:space="preserve"> </w:t>
      </w:r>
      <w:r w:rsidRPr="00595F2A">
        <w:t xml:space="preserve">wildland fire fuel hazards and other resource management issues on SRA lands. </w:t>
      </w:r>
      <w:r w:rsidR="005549EF">
        <w:t xml:space="preserve">The VMP does not include the use of herbicides or mechanical mastication or treatments on forested lands (tree fuel type). </w:t>
      </w:r>
      <w:r w:rsidRPr="00595F2A">
        <w:t xml:space="preserve">Implementation of VMP projects is at the discretion of each CAL FIRE </w:t>
      </w:r>
      <w:r>
        <w:t>A</w:t>
      </w:r>
      <w:r w:rsidRPr="00595F2A">
        <w:t xml:space="preserve">dministrative </w:t>
      </w:r>
      <w:r>
        <w:t>U</w:t>
      </w:r>
      <w:r w:rsidRPr="00595F2A">
        <w:t xml:space="preserve">nit. </w:t>
      </w:r>
      <w:r w:rsidR="000153DC">
        <w:t>The p</w:t>
      </w:r>
      <w:r w:rsidRPr="00CD2E61">
        <w:t>rojects undertaken through the VMP are contained within the Unit</w:t>
      </w:r>
      <w:r w:rsidR="00CC081D">
        <w:t>’</w:t>
      </w:r>
      <w:r w:rsidRPr="00CD2E61">
        <w:t>s Fire Management Plan and are considered to be of high fire prevention value to the unit. Vegetation management through CAL FIRE</w:t>
      </w:r>
      <w:r w:rsidR="00CC081D">
        <w:t>’</w:t>
      </w:r>
      <w:r w:rsidRPr="00CD2E61">
        <w:t xml:space="preserve">s VMP has been limited, averaging approximately </w:t>
      </w:r>
      <w:r w:rsidR="00EB0058">
        <w:t>7</w:t>
      </w:r>
      <w:r w:rsidRPr="00CD2E61">
        <w:t xml:space="preserve">,000 acres treated annually over the </w:t>
      </w:r>
      <w:r w:rsidRPr="009E59D2">
        <w:t>past 14 years</w:t>
      </w:r>
      <w:r w:rsidR="00AF04FF">
        <w:t xml:space="preserve"> (Table 4-1)</w:t>
      </w:r>
      <w:r w:rsidRPr="009E59D2">
        <w:t>, with</w:t>
      </w:r>
      <w:r w:rsidRPr="00CD2E61">
        <w:t xml:space="preserve"> an average project size of 260 acres. </w:t>
      </w:r>
      <w:r w:rsidR="005549EF">
        <w:t xml:space="preserve">As described in Chapter 2, </w:t>
      </w:r>
      <w:r w:rsidR="00CC081D">
        <w:t>“</w:t>
      </w:r>
      <w:r w:rsidR="005549EF">
        <w:t>Program Description,</w:t>
      </w:r>
      <w:r w:rsidR="00CC081D">
        <w:t>”</w:t>
      </w:r>
      <w:r w:rsidR="005549EF">
        <w:t xml:space="preserve"> some</w:t>
      </w:r>
      <w:r w:rsidR="005549EF" w:rsidRPr="00822E8F">
        <w:t xml:space="preserve"> of the tabulated data </w:t>
      </w:r>
      <w:r w:rsidR="005549EF">
        <w:t>for this period is incomplete</w:t>
      </w:r>
      <w:r w:rsidR="005549EF" w:rsidRPr="00822E8F">
        <w:t xml:space="preserve">, </w:t>
      </w:r>
      <w:r w:rsidR="005549EF">
        <w:t xml:space="preserve">so the 7,000-acre average during this period may be an underestimate. </w:t>
      </w:r>
      <w:r w:rsidRPr="00136E7F">
        <w:t xml:space="preserve">Vegetation management projects funded by CAL FIRE under the VMP occur on an ongoing basis. CAL FIRE participates in these as funding and staff time allows. </w:t>
      </w:r>
    </w:p>
    <w:p w14:paraId="375AEA8C" w14:textId="25C5AEF0" w:rsidR="00831530" w:rsidRDefault="00831530" w:rsidP="003467B4">
      <w:pPr>
        <w:pStyle w:val="BodyText"/>
      </w:pPr>
      <w:r w:rsidRPr="00136E7F">
        <w:t xml:space="preserve">Over </w:t>
      </w:r>
      <w:r w:rsidRPr="00DC2147">
        <w:t>a 14-y</w:t>
      </w:r>
      <w:r w:rsidRPr="00136E7F">
        <w:t xml:space="preserve">ear </w:t>
      </w:r>
      <w:r w:rsidRPr="00D667A0">
        <w:t>period (2004 through 2018) CAL</w:t>
      </w:r>
      <w:r w:rsidRPr="00136E7F">
        <w:t xml:space="preserve"> FIRE has implemented vegetation management projects on </w:t>
      </w:r>
      <w:r w:rsidRPr="00D667A0">
        <w:t xml:space="preserve">approximately </w:t>
      </w:r>
      <w:r w:rsidR="00EB0058">
        <w:t>97,000</w:t>
      </w:r>
      <w:r>
        <w:t xml:space="preserve"> </w:t>
      </w:r>
      <w:r w:rsidRPr="00D667A0">
        <w:t>acres of</w:t>
      </w:r>
      <w:r w:rsidRPr="00136E7F">
        <w:t xml:space="preserve"> land through the VMP</w:t>
      </w:r>
      <w:r w:rsidR="00AF04FF">
        <w:t xml:space="preserve"> (Table 4-1)</w:t>
      </w:r>
      <w:r>
        <w:t>.</w:t>
      </w:r>
      <w:r w:rsidR="00AF04FF">
        <w:t xml:space="preserve"> </w:t>
      </w:r>
      <w:r w:rsidR="00A50E61">
        <w:t>The prescribed burning acreages presented in Table</w:t>
      </w:r>
      <w:r w:rsidR="00E71039">
        <w:t> </w:t>
      </w:r>
      <w:r w:rsidR="00A50E61">
        <w:t xml:space="preserve">4-1 include federal, state, and local acreages. The state acreages for prescribed burning may overlap with treatment acreages </w:t>
      </w:r>
      <w:r w:rsidR="000153DC">
        <w:t>reported under</w:t>
      </w:r>
      <w:r w:rsidR="00A50E61">
        <w:t xml:space="preserve"> the VMP.</w:t>
      </w:r>
    </w:p>
    <w:p w14:paraId="0A599670" w14:textId="77777777" w:rsidR="00F469FF" w:rsidRPr="00F21DDE" w:rsidRDefault="00F469FF" w:rsidP="00BF39FB">
      <w:pPr>
        <w:pStyle w:val="TableHeader"/>
      </w:pPr>
      <w:bookmarkStart w:id="7" w:name="_Toc23838589"/>
      <w:bookmarkStart w:id="8" w:name="_Hlk775079"/>
      <w:r>
        <w:t>Table 4-1</w:t>
      </w:r>
      <w:r>
        <w:tab/>
        <w:t>Summary of Past and Present Cumulative Projects (acres)</w:t>
      </w:r>
      <w:bookmarkEnd w:id="7"/>
    </w:p>
    <w:tbl>
      <w:tblPr>
        <w:tblStyle w:val="TableGrid"/>
        <w:tblW w:w="10080" w:type="dxa"/>
        <w:jc w:val="center"/>
        <w:tblLayout w:type="fixed"/>
        <w:tblCellMar>
          <w:top w:w="43" w:type="dxa"/>
          <w:left w:w="115" w:type="dxa"/>
          <w:bottom w:w="43" w:type="dxa"/>
          <w:right w:w="115" w:type="dxa"/>
        </w:tblCellMar>
        <w:tblLook w:val="04A0" w:firstRow="1" w:lastRow="0" w:firstColumn="1" w:lastColumn="0" w:noHBand="0" w:noVBand="1"/>
      </w:tblPr>
      <w:tblGrid>
        <w:gridCol w:w="1254"/>
        <w:gridCol w:w="1119"/>
        <w:gridCol w:w="1156"/>
        <w:gridCol w:w="1222"/>
        <w:gridCol w:w="1189"/>
        <w:gridCol w:w="1121"/>
        <w:gridCol w:w="2114"/>
        <w:gridCol w:w="905"/>
      </w:tblGrid>
      <w:tr w:rsidR="00F469FF" w14:paraId="18BEB6EE" w14:textId="77777777" w:rsidTr="00F469FF">
        <w:trPr>
          <w:trHeight w:val="20"/>
          <w:tblHeader/>
          <w:jc w:val="center"/>
        </w:trPr>
        <w:tc>
          <w:tcPr>
            <w:tcW w:w="1254" w:type="dxa"/>
            <w:tcBorders>
              <w:left w:val="nil"/>
            </w:tcBorders>
            <w:shd w:val="clear" w:color="auto" w:fill="D9D9D9" w:themeFill="background1" w:themeFillShade="D9"/>
            <w:vAlign w:val="center"/>
          </w:tcPr>
          <w:p w14:paraId="036F6226" w14:textId="14F7F075" w:rsidR="00F469FF" w:rsidRDefault="00F469FF" w:rsidP="00545033">
            <w:pPr>
              <w:pStyle w:val="TableColumn"/>
            </w:pPr>
            <w:r>
              <w:t>Year</w:t>
            </w:r>
          </w:p>
        </w:tc>
        <w:tc>
          <w:tcPr>
            <w:tcW w:w="1119" w:type="dxa"/>
            <w:tcBorders>
              <w:top w:val="single" w:sz="4" w:space="0" w:color="auto"/>
              <w:left w:val="nil"/>
              <w:right w:val="single" w:sz="4" w:space="0" w:color="auto"/>
            </w:tcBorders>
            <w:shd w:val="clear" w:color="auto" w:fill="D9D9D9" w:themeFill="background1" w:themeFillShade="D9"/>
            <w:vAlign w:val="center"/>
          </w:tcPr>
          <w:p w14:paraId="6314FFA7" w14:textId="06D0689D" w:rsidR="00F469FF" w:rsidRDefault="00F469FF" w:rsidP="00545033">
            <w:pPr>
              <w:pStyle w:val="TableColumn"/>
            </w:pPr>
            <w:r w:rsidRPr="004F0F58">
              <w:t>CAL FIRE VMP</w:t>
            </w:r>
          </w:p>
        </w:tc>
        <w:tc>
          <w:tcPr>
            <w:tcW w:w="1156" w:type="dxa"/>
            <w:tcBorders>
              <w:top w:val="single" w:sz="2" w:space="0" w:color="auto"/>
              <w:left w:val="single" w:sz="2" w:space="0" w:color="auto"/>
              <w:right w:val="single" w:sz="2" w:space="0" w:color="auto"/>
            </w:tcBorders>
            <w:shd w:val="clear" w:color="auto" w:fill="D9D9D9" w:themeFill="background1" w:themeFillShade="D9"/>
            <w:vAlign w:val="center"/>
          </w:tcPr>
          <w:p w14:paraId="37A09E2F" w14:textId="213C7DBD" w:rsidR="00F469FF" w:rsidRDefault="00F469FF" w:rsidP="00545033">
            <w:pPr>
              <w:pStyle w:val="TableColumn"/>
              <w:rPr>
                <w:color w:val="000000"/>
              </w:rPr>
            </w:pPr>
            <w:r>
              <w:t>Prescribed Burning</w:t>
            </w:r>
          </w:p>
        </w:tc>
        <w:tc>
          <w:tcPr>
            <w:tcW w:w="1222" w:type="dxa"/>
            <w:tcBorders>
              <w:top w:val="single" w:sz="4" w:space="0" w:color="auto"/>
              <w:left w:val="single" w:sz="4" w:space="0" w:color="auto"/>
              <w:right w:val="single" w:sz="2" w:space="0" w:color="auto"/>
            </w:tcBorders>
            <w:shd w:val="clear" w:color="auto" w:fill="D9D9D9" w:themeFill="background1" w:themeFillShade="D9"/>
            <w:vAlign w:val="center"/>
          </w:tcPr>
          <w:p w14:paraId="27E135DC" w14:textId="3FC1B0C9" w:rsidR="00F469FF" w:rsidRDefault="00F469FF" w:rsidP="00545033">
            <w:pPr>
              <w:pStyle w:val="TableColumn"/>
            </w:pPr>
            <w:r w:rsidRPr="004F0F58">
              <w:t>CAL FIRE CFIP</w:t>
            </w:r>
          </w:p>
        </w:tc>
        <w:tc>
          <w:tcPr>
            <w:tcW w:w="1189" w:type="dxa"/>
            <w:tcBorders>
              <w:left w:val="single" w:sz="2" w:space="0" w:color="auto"/>
            </w:tcBorders>
            <w:shd w:val="clear" w:color="auto" w:fill="D9D9D9" w:themeFill="background1" w:themeFillShade="D9"/>
            <w:vAlign w:val="center"/>
          </w:tcPr>
          <w:p w14:paraId="1FEC1E02" w14:textId="5E2D9ED4" w:rsidR="00F469FF" w:rsidRPr="008A05AA" w:rsidRDefault="00F469FF" w:rsidP="00545033">
            <w:pPr>
              <w:pStyle w:val="TableColumn"/>
            </w:pPr>
            <w:r>
              <w:t>Timber Harvesting Federal</w:t>
            </w:r>
          </w:p>
        </w:tc>
        <w:tc>
          <w:tcPr>
            <w:tcW w:w="1121" w:type="dxa"/>
            <w:tcBorders>
              <w:left w:val="single" w:sz="2" w:space="0" w:color="auto"/>
            </w:tcBorders>
            <w:shd w:val="clear" w:color="auto" w:fill="D9D9D9" w:themeFill="background1" w:themeFillShade="D9"/>
            <w:vAlign w:val="center"/>
          </w:tcPr>
          <w:p w14:paraId="6552E552" w14:textId="5B990E8E" w:rsidR="00F469FF" w:rsidRPr="008A05AA" w:rsidRDefault="00F469FF" w:rsidP="00545033">
            <w:pPr>
              <w:pStyle w:val="TableColumn"/>
            </w:pPr>
            <w:r>
              <w:t>Timber Harvesting CAL FIRE</w:t>
            </w:r>
          </w:p>
        </w:tc>
        <w:tc>
          <w:tcPr>
            <w:tcW w:w="2114" w:type="dxa"/>
            <w:tcBorders>
              <w:top w:val="single" w:sz="4" w:space="0" w:color="auto"/>
              <w:left w:val="nil"/>
            </w:tcBorders>
            <w:shd w:val="clear" w:color="auto" w:fill="D9D9D9" w:themeFill="background1" w:themeFillShade="D9"/>
            <w:vAlign w:val="center"/>
          </w:tcPr>
          <w:p w14:paraId="38347932" w14:textId="2CD74F6A" w:rsidR="00F469FF" w:rsidRDefault="00F469FF" w:rsidP="00545033">
            <w:pPr>
              <w:pStyle w:val="TableColumn"/>
              <w:rPr>
                <w:rFonts w:cs="Segoe UI Semilight"/>
                <w:color w:val="000000"/>
                <w:szCs w:val="18"/>
              </w:rPr>
            </w:pPr>
            <w:r>
              <w:t>Federal Mechanical Treatments (outside SRA)</w:t>
            </w:r>
          </w:p>
        </w:tc>
        <w:tc>
          <w:tcPr>
            <w:tcW w:w="905" w:type="dxa"/>
            <w:tcBorders>
              <w:right w:val="nil"/>
            </w:tcBorders>
            <w:shd w:val="clear" w:color="auto" w:fill="D9D9D9" w:themeFill="background1" w:themeFillShade="D9"/>
            <w:vAlign w:val="center"/>
          </w:tcPr>
          <w:p w14:paraId="501A370C" w14:textId="69F92F94" w:rsidR="00F469FF" w:rsidRPr="00F21DDE" w:rsidRDefault="00F469FF" w:rsidP="00545033">
            <w:pPr>
              <w:pStyle w:val="TableColumn"/>
            </w:pPr>
            <w:r>
              <w:t>Total</w:t>
            </w:r>
          </w:p>
        </w:tc>
      </w:tr>
      <w:tr w:rsidR="00545033" w14:paraId="5C3795EE" w14:textId="77777777" w:rsidTr="00F469FF">
        <w:trPr>
          <w:trHeight w:val="20"/>
          <w:jc w:val="center"/>
        </w:trPr>
        <w:tc>
          <w:tcPr>
            <w:tcW w:w="1254" w:type="dxa"/>
            <w:tcBorders>
              <w:left w:val="nil"/>
            </w:tcBorders>
          </w:tcPr>
          <w:p w14:paraId="3150431A" w14:textId="77777777" w:rsidR="00545033" w:rsidRDefault="00545033" w:rsidP="00545033">
            <w:pPr>
              <w:pStyle w:val="TableColumn"/>
            </w:pPr>
            <w:r>
              <w:t>2004</w:t>
            </w:r>
          </w:p>
        </w:tc>
        <w:tc>
          <w:tcPr>
            <w:tcW w:w="1119" w:type="dxa"/>
            <w:tcBorders>
              <w:top w:val="single" w:sz="4" w:space="0" w:color="auto"/>
              <w:left w:val="nil"/>
              <w:bottom w:val="single" w:sz="4" w:space="0" w:color="auto"/>
              <w:right w:val="single" w:sz="4" w:space="0" w:color="auto"/>
            </w:tcBorders>
          </w:tcPr>
          <w:p w14:paraId="6F2B16BB" w14:textId="0FEAA869" w:rsidR="00545033" w:rsidRDefault="00545033" w:rsidP="00545033">
            <w:pPr>
              <w:pStyle w:val="TableText"/>
            </w:pPr>
            <w:r>
              <w:t>4,322</w:t>
            </w:r>
          </w:p>
        </w:tc>
        <w:tc>
          <w:tcPr>
            <w:tcW w:w="1156" w:type="dxa"/>
            <w:tcBorders>
              <w:top w:val="single" w:sz="2" w:space="0" w:color="auto"/>
              <w:left w:val="single" w:sz="2" w:space="0" w:color="auto"/>
              <w:bottom w:val="single" w:sz="2" w:space="0" w:color="auto"/>
              <w:right w:val="single" w:sz="2" w:space="0" w:color="auto"/>
            </w:tcBorders>
            <w:vAlign w:val="bottom"/>
          </w:tcPr>
          <w:p w14:paraId="6AC4BEA4" w14:textId="6051DB49" w:rsidR="00545033" w:rsidRDefault="00545033" w:rsidP="00545033">
            <w:pPr>
              <w:pStyle w:val="TableText"/>
            </w:pPr>
            <w:r>
              <w:rPr>
                <w:color w:val="000000"/>
              </w:rPr>
              <w:t>27,633</w:t>
            </w:r>
          </w:p>
        </w:tc>
        <w:tc>
          <w:tcPr>
            <w:tcW w:w="1222" w:type="dxa"/>
            <w:tcBorders>
              <w:top w:val="single" w:sz="4" w:space="0" w:color="auto"/>
              <w:left w:val="single" w:sz="4" w:space="0" w:color="auto"/>
              <w:bottom w:val="single" w:sz="4" w:space="0" w:color="auto"/>
              <w:right w:val="single" w:sz="2" w:space="0" w:color="auto"/>
            </w:tcBorders>
          </w:tcPr>
          <w:p w14:paraId="6313FF6A" w14:textId="4785957D" w:rsidR="00545033" w:rsidRDefault="00545033" w:rsidP="00545033">
            <w:pPr>
              <w:pStyle w:val="TableText"/>
            </w:pPr>
            <w:r>
              <w:t>15,649</w:t>
            </w:r>
          </w:p>
        </w:tc>
        <w:tc>
          <w:tcPr>
            <w:tcW w:w="1189" w:type="dxa"/>
            <w:tcBorders>
              <w:left w:val="single" w:sz="2" w:space="0" w:color="auto"/>
            </w:tcBorders>
          </w:tcPr>
          <w:p w14:paraId="113A6C8A" w14:textId="77C7C0F8" w:rsidR="00545033" w:rsidRDefault="00545033" w:rsidP="00545033">
            <w:pPr>
              <w:pStyle w:val="TableText"/>
            </w:pPr>
            <w:r w:rsidRPr="008A05AA">
              <w:t>64,160</w:t>
            </w:r>
          </w:p>
        </w:tc>
        <w:tc>
          <w:tcPr>
            <w:tcW w:w="1121" w:type="dxa"/>
          </w:tcPr>
          <w:p w14:paraId="0962943F" w14:textId="4542F097" w:rsidR="00545033" w:rsidRDefault="00545033" w:rsidP="00545033">
            <w:pPr>
              <w:pStyle w:val="TableText"/>
            </w:pPr>
            <w:r w:rsidRPr="008A05AA">
              <w:t>229,658</w:t>
            </w:r>
          </w:p>
        </w:tc>
        <w:tc>
          <w:tcPr>
            <w:tcW w:w="2114" w:type="dxa"/>
            <w:tcBorders>
              <w:top w:val="single" w:sz="4" w:space="0" w:color="auto"/>
              <w:left w:val="nil"/>
              <w:bottom w:val="single" w:sz="4" w:space="0" w:color="auto"/>
            </w:tcBorders>
            <w:vAlign w:val="center"/>
          </w:tcPr>
          <w:p w14:paraId="05E140F4" w14:textId="46DFDDFF" w:rsidR="00545033" w:rsidRDefault="00545033" w:rsidP="00545033">
            <w:pPr>
              <w:pStyle w:val="TableText"/>
            </w:pPr>
            <w:r>
              <w:rPr>
                <w:rFonts w:cs="Segoe UI Semilight"/>
                <w:color w:val="000000"/>
                <w:szCs w:val="18"/>
              </w:rPr>
              <w:t>52,610</w:t>
            </w:r>
          </w:p>
        </w:tc>
        <w:tc>
          <w:tcPr>
            <w:tcW w:w="905" w:type="dxa"/>
            <w:tcBorders>
              <w:right w:val="nil"/>
            </w:tcBorders>
          </w:tcPr>
          <w:p w14:paraId="2B8D064E" w14:textId="7030C132" w:rsidR="00545033" w:rsidRDefault="00545033" w:rsidP="00545033">
            <w:pPr>
              <w:pStyle w:val="TableText"/>
            </w:pPr>
            <w:r w:rsidRPr="00F21DDE">
              <w:t>394,032</w:t>
            </w:r>
          </w:p>
        </w:tc>
      </w:tr>
      <w:tr w:rsidR="00545033" w14:paraId="57FCF562" w14:textId="77777777" w:rsidTr="00F469FF">
        <w:trPr>
          <w:trHeight w:val="20"/>
          <w:jc w:val="center"/>
        </w:trPr>
        <w:tc>
          <w:tcPr>
            <w:tcW w:w="1254" w:type="dxa"/>
            <w:tcBorders>
              <w:left w:val="nil"/>
            </w:tcBorders>
          </w:tcPr>
          <w:p w14:paraId="5B7FC31F" w14:textId="77777777" w:rsidR="00545033" w:rsidRDefault="00545033" w:rsidP="00545033">
            <w:pPr>
              <w:pStyle w:val="TableColumn"/>
            </w:pPr>
            <w:r>
              <w:t>2005</w:t>
            </w:r>
          </w:p>
        </w:tc>
        <w:tc>
          <w:tcPr>
            <w:tcW w:w="1119" w:type="dxa"/>
            <w:tcBorders>
              <w:top w:val="single" w:sz="4" w:space="0" w:color="auto"/>
              <w:left w:val="nil"/>
              <w:bottom w:val="single" w:sz="4" w:space="0" w:color="auto"/>
              <w:right w:val="single" w:sz="4" w:space="0" w:color="auto"/>
            </w:tcBorders>
          </w:tcPr>
          <w:p w14:paraId="4F6D592C" w14:textId="436F5277" w:rsidR="00545033" w:rsidRDefault="00545033" w:rsidP="00545033">
            <w:pPr>
              <w:pStyle w:val="TableText"/>
            </w:pPr>
            <w:r>
              <w:t>8,377</w:t>
            </w:r>
          </w:p>
        </w:tc>
        <w:tc>
          <w:tcPr>
            <w:tcW w:w="1156" w:type="dxa"/>
            <w:tcBorders>
              <w:top w:val="single" w:sz="2" w:space="0" w:color="auto"/>
              <w:left w:val="single" w:sz="2" w:space="0" w:color="auto"/>
              <w:bottom w:val="single" w:sz="2" w:space="0" w:color="auto"/>
              <w:right w:val="single" w:sz="2" w:space="0" w:color="auto"/>
            </w:tcBorders>
            <w:vAlign w:val="bottom"/>
          </w:tcPr>
          <w:p w14:paraId="5D6338E0" w14:textId="3F566041" w:rsidR="00545033" w:rsidRDefault="00545033" w:rsidP="00545033">
            <w:pPr>
              <w:pStyle w:val="TableText"/>
            </w:pPr>
            <w:r>
              <w:rPr>
                <w:color w:val="000000"/>
              </w:rPr>
              <w:t>64,305</w:t>
            </w:r>
          </w:p>
        </w:tc>
        <w:tc>
          <w:tcPr>
            <w:tcW w:w="1222" w:type="dxa"/>
            <w:tcBorders>
              <w:top w:val="single" w:sz="4" w:space="0" w:color="auto"/>
              <w:left w:val="single" w:sz="4" w:space="0" w:color="auto"/>
              <w:bottom w:val="single" w:sz="4" w:space="0" w:color="auto"/>
              <w:right w:val="single" w:sz="2" w:space="0" w:color="auto"/>
            </w:tcBorders>
          </w:tcPr>
          <w:p w14:paraId="3102CFD1" w14:textId="18D27871" w:rsidR="00545033" w:rsidRDefault="00545033" w:rsidP="00545033">
            <w:pPr>
              <w:pStyle w:val="TableText"/>
            </w:pPr>
            <w:r>
              <w:t>23,592</w:t>
            </w:r>
          </w:p>
        </w:tc>
        <w:tc>
          <w:tcPr>
            <w:tcW w:w="1189" w:type="dxa"/>
            <w:tcBorders>
              <w:left w:val="single" w:sz="2" w:space="0" w:color="auto"/>
            </w:tcBorders>
          </w:tcPr>
          <w:p w14:paraId="53EB4ECE" w14:textId="3414AC7E" w:rsidR="00545033" w:rsidRDefault="00545033" w:rsidP="00545033">
            <w:pPr>
              <w:pStyle w:val="TableText"/>
            </w:pPr>
            <w:r w:rsidRPr="008A05AA">
              <w:t>46,252</w:t>
            </w:r>
          </w:p>
        </w:tc>
        <w:tc>
          <w:tcPr>
            <w:tcW w:w="1121" w:type="dxa"/>
          </w:tcPr>
          <w:p w14:paraId="053B126D" w14:textId="182A3D3C" w:rsidR="00545033" w:rsidRDefault="00545033" w:rsidP="00545033">
            <w:pPr>
              <w:pStyle w:val="TableText"/>
            </w:pPr>
            <w:r w:rsidRPr="008A05AA">
              <w:t>164,520</w:t>
            </w:r>
          </w:p>
        </w:tc>
        <w:tc>
          <w:tcPr>
            <w:tcW w:w="2114" w:type="dxa"/>
            <w:tcBorders>
              <w:top w:val="single" w:sz="4" w:space="0" w:color="auto"/>
              <w:left w:val="nil"/>
              <w:bottom w:val="single" w:sz="4" w:space="0" w:color="auto"/>
            </w:tcBorders>
            <w:vAlign w:val="center"/>
          </w:tcPr>
          <w:p w14:paraId="7635C40D" w14:textId="6074AEDC" w:rsidR="00545033" w:rsidRDefault="00545033" w:rsidP="00545033">
            <w:pPr>
              <w:pStyle w:val="TableText"/>
            </w:pPr>
            <w:r>
              <w:rPr>
                <w:rFonts w:cs="Segoe UI Semilight"/>
                <w:color w:val="000000"/>
                <w:szCs w:val="18"/>
              </w:rPr>
              <w:t>51,596</w:t>
            </w:r>
          </w:p>
        </w:tc>
        <w:tc>
          <w:tcPr>
            <w:tcW w:w="905" w:type="dxa"/>
            <w:tcBorders>
              <w:right w:val="nil"/>
            </w:tcBorders>
          </w:tcPr>
          <w:p w14:paraId="6D4A571D" w14:textId="19709407" w:rsidR="00545033" w:rsidRDefault="00545033" w:rsidP="00545033">
            <w:pPr>
              <w:pStyle w:val="TableText"/>
            </w:pPr>
            <w:r w:rsidRPr="00F21DDE">
              <w:t>358,642</w:t>
            </w:r>
          </w:p>
        </w:tc>
      </w:tr>
      <w:tr w:rsidR="00545033" w14:paraId="5E790837" w14:textId="77777777" w:rsidTr="00F469FF">
        <w:trPr>
          <w:trHeight w:val="20"/>
          <w:jc w:val="center"/>
        </w:trPr>
        <w:tc>
          <w:tcPr>
            <w:tcW w:w="1254" w:type="dxa"/>
            <w:tcBorders>
              <w:left w:val="nil"/>
            </w:tcBorders>
          </w:tcPr>
          <w:p w14:paraId="1E5EA890" w14:textId="77777777" w:rsidR="00545033" w:rsidRDefault="00545033" w:rsidP="00545033">
            <w:pPr>
              <w:pStyle w:val="TableColumn"/>
            </w:pPr>
            <w:r>
              <w:t>2006</w:t>
            </w:r>
          </w:p>
        </w:tc>
        <w:tc>
          <w:tcPr>
            <w:tcW w:w="1119" w:type="dxa"/>
            <w:tcBorders>
              <w:top w:val="single" w:sz="4" w:space="0" w:color="auto"/>
              <w:left w:val="nil"/>
              <w:bottom w:val="single" w:sz="4" w:space="0" w:color="auto"/>
              <w:right w:val="single" w:sz="4" w:space="0" w:color="auto"/>
            </w:tcBorders>
          </w:tcPr>
          <w:p w14:paraId="30756EBC" w14:textId="55599F9A" w:rsidR="00545033" w:rsidRDefault="00545033" w:rsidP="00545033">
            <w:pPr>
              <w:pStyle w:val="TableText"/>
            </w:pPr>
            <w:r>
              <w:t>9,965</w:t>
            </w:r>
          </w:p>
        </w:tc>
        <w:tc>
          <w:tcPr>
            <w:tcW w:w="1156" w:type="dxa"/>
            <w:tcBorders>
              <w:top w:val="single" w:sz="2" w:space="0" w:color="auto"/>
              <w:left w:val="single" w:sz="2" w:space="0" w:color="auto"/>
              <w:bottom w:val="single" w:sz="2" w:space="0" w:color="auto"/>
              <w:right w:val="single" w:sz="2" w:space="0" w:color="auto"/>
            </w:tcBorders>
            <w:vAlign w:val="bottom"/>
          </w:tcPr>
          <w:p w14:paraId="3E9F1247" w14:textId="6FB76431" w:rsidR="00545033" w:rsidRDefault="00545033" w:rsidP="00545033">
            <w:pPr>
              <w:pStyle w:val="TableText"/>
            </w:pPr>
            <w:r>
              <w:rPr>
                <w:color w:val="000000"/>
              </w:rPr>
              <w:t>87,882</w:t>
            </w:r>
          </w:p>
        </w:tc>
        <w:tc>
          <w:tcPr>
            <w:tcW w:w="1222" w:type="dxa"/>
            <w:tcBorders>
              <w:top w:val="single" w:sz="4" w:space="0" w:color="auto"/>
              <w:left w:val="single" w:sz="4" w:space="0" w:color="auto"/>
              <w:bottom w:val="single" w:sz="4" w:space="0" w:color="auto"/>
              <w:right w:val="single" w:sz="2" w:space="0" w:color="auto"/>
            </w:tcBorders>
          </w:tcPr>
          <w:p w14:paraId="2425F4A5" w14:textId="4289E18F" w:rsidR="00545033" w:rsidRDefault="00545033" w:rsidP="00545033">
            <w:pPr>
              <w:pStyle w:val="TableText"/>
            </w:pPr>
            <w:r>
              <w:t>7,659</w:t>
            </w:r>
          </w:p>
        </w:tc>
        <w:tc>
          <w:tcPr>
            <w:tcW w:w="1189" w:type="dxa"/>
            <w:tcBorders>
              <w:left w:val="single" w:sz="2" w:space="0" w:color="auto"/>
            </w:tcBorders>
          </w:tcPr>
          <w:p w14:paraId="5F272951" w14:textId="277BEA02" w:rsidR="00545033" w:rsidRDefault="00545033" w:rsidP="00545033">
            <w:pPr>
              <w:pStyle w:val="TableText"/>
            </w:pPr>
            <w:r w:rsidRPr="008A05AA">
              <w:t>49,226</w:t>
            </w:r>
          </w:p>
        </w:tc>
        <w:tc>
          <w:tcPr>
            <w:tcW w:w="1121" w:type="dxa"/>
          </w:tcPr>
          <w:p w14:paraId="7C68FE49" w14:textId="57CD25F1" w:rsidR="00545033" w:rsidRDefault="00545033" w:rsidP="00545033">
            <w:pPr>
              <w:pStyle w:val="TableText"/>
            </w:pPr>
            <w:r w:rsidRPr="008A05AA">
              <w:t>145,854</w:t>
            </w:r>
          </w:p>
        </w:tc>
        <w:tc>
          <w:tcPr>
            <w:tcW w:w="2114" w:type="dxa"/>
            <w:tcBorders>
              <w:top w:val="single" w:sz="4" w:space="0" w:color="auto"/>
              <w:left w:val="nil"/>
              <w:bottom w:val="single" w:sz="4" w:space="0" w:color="auto"/>
            </w:tcBorders>
            <w:vAlign w:val="center"/>
          </w:tcPr>
          <w:p w14:paraId="62EB8112" w14:textId="1366592D" w:rsidR="00545033" w:rsidRDefault="00545033" w:rsidP="00545033">
            <w:pPr>
              <w:pStyle w:val="TableText"/>
            </w:pPr>
            <w:r>
              <w:rPr>
                <w:rFonts w:cs="Segoe UI Semilight"/>
                <w:color w:val="000000"/>
                <w:szCs w:val="18"/>
              </w:rPr>
              <w:t>51,367</w:t>
            </w:r>
          </w:p>
        </w:tc>
        <w:tc>
          <w:tcPr>
            <w:tcW w:w="905" w:type="dxa"/>
            <w:tcBorders>
              <w:right w:val="nil"/>
            </w:tcBorders>
          </w:tcPr>
          <w:p w14:paraId="3487F2C4" w14:textId="0EEB8393" w:rsidR="00545033" w:rsidRDefault="00545033" w:rsidP="00545033">
            <w:pPr>
              <w:pStyle w:val="TableText"/>
            </w:pPr>
            <w:r w:rsidRPr="00F21DDE">
              <w:t>351,953</w:t>
            </w:r>
          </w:p>
        </w:tc>
      </w:tr>
      <w:tr w:rsidR="00545033" w14:paraId="536C06D9" w14:textId="77777777" w:rsidTr="00F469FF">
        <w:trPr>
          <w:trHeight w:val="20"/>
          <w:jc w:val="center"/>
        </w:trPr>
        <w:tc>
          <w:tcPr>
            <w:tcW w:w="1254" w:type="dxa"/>
            <w:tcBorders>
              <w:left w:val="nil"/>
            </w:tcBorders>
          </w:tcPr>
          <w:p w14:paraId="643D1CF7" w14:textId="77777777" w:rsidR="00545033" w:rsidRDefault="00545033" w:rsidP="00545033">
            <w:pPr>
              <w:pStyle w:val="TableColumn"/>
            </w:pPr>
            <w:r>
              <w:t>2007</w:t>
            </w:r>
          </w:p>
        </w:tc>
        <w:tc>
          <w:tcPr>
            <w:tcW w:w="1119" w:type="dxa"/>
            <w:tcBorders>
              <w:top w:val="single" w:sz="4" w:space="0" w:color="auto"/>
              <w:left w:val="nil"/>
              <w:bottom w:val="single" w:sz="4" w:space="0" w:color="auto"/>
              <w:right w:val="single" w:sz="4" w:space="0" w:color="auto"/>
            </w:tcBorders>
          </w:tcPr>
          <w:p w14:paraId="178D1AA8" w14:textId="1F48B11A" w:rsidR="00545033" w:rsidRDefault="00545033" w:rsidP="00545033">
            <w:pPr>
              <w:pStyle w:val="TableText"/>
            </w:pPr>
            <w:r>
              <w:t>6,980</w:t>
            </w:r>
          </w:p>
        </w:tc>
        <w:tc>
          <w:tcPr>
            <w:tcW w:w="1156" w:type="dxa"/>
            <w:tcBorders>
              <w:top w:val="single" w:sz="2" w:space="0" w:color="auto"/>
              <w:left w:val="single" w:sz="2" w:space="0" w:color="auto"/>
              <w:bottom w:val="single" w:sz="2" w:space="0" w:color="auto"/>
              <w:right w:val="single" w:sz="2" w:space="0" w:color="auto"/>
            </w:tcBorders>
            <w:vAlign w:val="bottom"/>
          </w:tcPr>
          <w:p w14:paraId="7570E5CB" w14:textId="698BB00C" w:rsidR="00545033" w:rsidRDefault="00545033" w:rsidP="00545033">
            <w:pPr>
              <w:pStyle w:val="TableText"/>
            </w:pPr>
            <w:r>
              <w:rPr>
                <w:color w:val="000000"/>
              </w:rPr>
              <w:t>39,728</w:t>
            </w:r>
          </w:p>
        </w:tc>
        <w:tc>
          <w:tcPr>
            <w:tcW w:w="1222" w:type="dxa"/>
            <w:tcBorders>
              <w:top w:val="single" w:sz="4" w:space="0" w:color="auto"/>
              <w:left w:val="single" w:sz="4" w:space="0" w:color="auto"/>
              <w:bottom w:val="single" w:sz="4" w:space="0" w:color="auto"/>
              <w:right w:val="single" w:sz="2" w:space="0" w:color="auto"/>
            </w:tcBorders>
          </w:tcPr>
          <w:p w14:paraId="1B445A3A" w14:textId="778CF3C6" w:rsidR="00545033" w:rsidRDefault="00545033" w:rsidP="00545033">
            <w:pPr>
              <w:pStyle w:val="TableText"/>
            </w:pPr>
            <w:r>
              <w:t>4,091</w:t>
            </w:r>
          </w:p>
        </w:tc>
        <w:tc>
          <w:tcPr>
            <w:tcW w:w="1189" w:type="dxa"/>
            <w:tcBorders>
              <w:left w:val="single" w:sz="2" w:space="0" w:color="auto"/>
            </w:tcBorders>
          </w:tcPr>
          <w:p w14:paraId="28462994" w14:textId="743578DF" w:rsidR="00545033" w:rsidRDefault="00545033" w:rsidP="00545033">
            <w:pPr>
              <w:pStyle w:val="TableText"/>
            </w:pPr>
            <w:r w:rsidRPr="008A05AA">
              <w:t>39,835</w:t>
            </w:r>
          </w:p>
        </w:tc>
        <w:tc>
          <w:tcPr>
            <w:tcW w:w="1121" w:type="dxa"/>
          </w:tcPr>
          <w:p w14:paraId="26B5E9AF" w14:textId="426AF98C" w:rsidR="00545033" w:rsidRDefault="00545033" w:rsidP="00545033">
            <w:pPr>
              <w:pStyle w:val="TableText"/>
            </w:pPr>
            <w:r w:rsidRPr="008A05AA">
              <w:t>151,552</w:t>
            </w:r>
          </w:p>
        </w:tc>
        <w:tc>
          <w:tcPr>
            <w:tcW w:w="2114" w:type="dxa"/>
            <w:tcBorders>
              <w:top w:val="single" w:sz="4" w:space="0" w:color="auto"/>
              <w:left w:val="nil"/>
              <w:bottom w:val="single" w:sz="4" w:space="0" w:color="auto"/>
            </w:tcBorders>
            <w:vAlign w:val="center"/>
          </w:tcPr>
          <w:p w14:paraId="0940C24C" w14:textId="3E50C6C6" w:rsidR="00545033" w:rsidRDefault="00545033" w:rsidP="00545033">
            <w:pPr>
              <w:pStyle w:val="TableText"/>
            </w:pPr>
            <w:r>
              <w:rPr>
                <w:rFonts w:cs="Segoe UI Semilight"/>
                <w:color w:val="000000"/>
                <w:szCs w:val="18"/>
              </w:rPr>
              <w:t>55,668</w:t>
            </w:r>
          </w:p>
        </w:tc>
        <w:tc>
          <w:tcPr>
            <w:tcW w:w="905" w:type="dxa"/>
            <w:tcBorders>
              <w:right w:val="nil"/>
            </w:tcBorders>
          </w:tcPr>
          <w:p w14:paraId="7FB4BAB7" w14:textId="7C234643" w:rsidR="00545033" w:rsidRDefault="00545033" w:rsidP="00545033">
            <w:pPr>
              <w:pStyle w:val="TableText"/>
            </w:pPr>
            <w:r w:rsidRPr="00F21DDE">
              <w:t>297,854</w:t>
            </w:r>
          </w:p>
        </w:tc>
      </w:tr>
      <w:tr w:rsidR="00545033" w14:paraId="77FC6B28" w14:textId="77777777" w:rsidTr="00F469FF">
        <w:trPr>
          <w:trHeight w:val="20"/>
          <w:jc w:val="center"/>
        </w:trPr>
        <w:tc>
          <w:tcPr>
            <w:tcW w:w="1254" w:type="dxa"/>
            <w:tcBorders>
              <w:left w:val="nil"/>
            </w:tcBorders>
          </w:tcPr>
          <w:p w14:paraId="724FA326" w14:textId="77777777" w:rsidR="00545033" w:rsidRDefault="00545033" w:rsidP="00545033">
            <w:pPr>
              <w:pStyle w:val="TableColumn"/>
            </w:pPr>
            <w:r>
              <w:t>2008</w:t>
            </w:r>
          </w:p>
        </w:tc>
        <w:tc>
          <w:tcPr>
            <w:tcW w:w="1119" w:type="dxa"/>
            <w:tcBorders>
              <w:top w:val="single" w:sz="4" w:space="0" w:color="auto"/>
              <w:left w:val="nil"/>
              <w:bottom w:val="single" w:sz="4" w:space="0" w:color="auto"/>
              <w:right w:val="single" w:sz="4" w:space="0" w:color="auto"/>
            </w:tcBorders>
          </w:tcPr>
          <w:p w14:paraId="7432CD5B" w14:textId="33280225" w:rsidR="00545033" w:rsidRDefault="00545033" w:rsidP="00545033">
            <w:pPr>
              <w:pStyle w:val="TableText"/>
            </w:pPr>
            <w:r>
              <w:t>8,949</w:t>
            </w:r>
          </w:p>
        </w:tc>
        <w:tc>
          <w:tcPr>
            <w:tcW w:w="1156" w:type="dxa"/>
            <w:tcBorders>
              <w:top w:val="single" w:sz="2" w:space="0" w:color="auto"/>
              <w:left w:val="single" w:sz="2" w:space="0" w:color="auto"/>
              <w:bottom w:val="single" w:sz="2" w:space="0" w:color="auto"/>
              <w:right w:val="single" w:sz="2" w:space="0" w:color="auto"/>
            </w:tcBorders>
            <w:vAlign w:val="bottom"/>
          </w:tcPr>
          <w:p w14:paraId="526ECBFA" w14:textId="2EEDAD21" w:rsidR="00545033" w:rsidRDefault="00545033" w:rsidP="00545033">
            <w:pPr>
              <w:pStyle w:val="TableText"/>
            </w:pPr>
            <w:r>
              <w:rPr>
                <w:color w:val="000000"/>
              </w:rPr>
              <w:t>49,761</w:t>
            </w:r>
          </w:p>
        </w:tc>
        <w:tc>
          <w:tcPr>
            <w:tcW w:w="1222" w:type="dxa"/>
            <w:tcBorders>
              <w:top w:val="single" w:sz="4" w:space="0" w:color="auto"/>
              <w:left w:val="single" w:sz="4" w:space="0" w:color="auto"/>
              <w:bottom w:val="single" w:sz="4" w:space="0" w:color="auto"/>
              <w:right w:val="single" w:sz="2" w:space="0" w:color="auto"/>
            </w:tcBorders>
          </w:tcPr>
          <w:p w14:paraId="5BFD1345" w14:textId="072C881F" w:rsidR="00545033" w:rsidRDefault="00545033" w:rsidP="00545033">
            <w:pPr>
              <w:pStyle w:val="TableText"/>
            </w:pPr>
            <w:r>
              <w:t>13,338</w:t>
            </w:r>
          </w:p>
        </w:tc>
        <w:tc>
          <w:tcPr>
            <w:tcW w:w="1189" w:type="dxa"/>
            <w:tcBorders>
              <w:left w:val="single" w:sz="2" w:space="0" w:color="auto"/>
            </w:tcBorders>
          </w:tcPr>
          <w:p w14:paraId="16D9179C" w14:textId="1CF4577D" w:rsidR="00545033" w:rsidRDefault="00545033" w:rsidP="00545033">
            <w:pPr>
              <w:pStyle w:val="TableText"/>
            </w:pPr>
            <w:r w:rsidRPr="008A05AA">
              <w:t>37,023</w:t>
            </w:r>
          </w:p>
        </w:tc>
        <w:tc>
          <w:tcPr>
            <w:tcW w:w="1121" w:type="dxa"/>
          </w:tcPr>
          <w:p w14:paraId="216B7179" w14:textId="64CD11E7" w:rsidR="00545033" w:rsidRDefault="00545033" w:rsidP="00545033">
            <w:pPr>
              <w:pStyle w:val="TableText"/>
            </w:pPr>
            <w:r w:rsidRPr="008A05AA">
              <w:t>124,387</w:t>
            </w:r>
          </w:p>
        </w:tc>
        <w:tc>
          <w:tcPr>
            <w:tcW w:w="2114" w:type="dxa"/>
            <w:tcBorders>
              <w:top w:val="single" w:sz="4" w:space="0" w:color="auto"/>
              <w:left w:val="nil"/>
              <w:bottom w:val="single" w:sz="4" w:space="0" w:color="auto"/>
            </w:tcBorders>
            <w:vAlign w:val="center"/>
          </w:tcPr>
          <w:p w14:paraId="598BB0CC" w14:textId="5D44155D" w:rsidR="00545033" w:rsidRDefault="00545033" w:rsidP="00545033">
            <w:pPr>
              <w:pStyle w:val="TableText"/>
            </w:pPr>
            <w:r>
              <w:rPr>
                <w:rFonts w:cs="Segoe UI Semilight"/>
                <w:color w:val="000000"/>
                <w:szCs w:val="18"/>
              </w:rPr>
              <w:t>43,996</w:t>
            </w:r>
          </w:p>
        </w:tc>
        <w:tc>
          <w:tcPr>
            <w:tcW w:w="905" w:type="dxa"/>
            <w:tcBorders>
              <w:right w:val="nil"/>
            </w:tcBorders>
          </w:tcPr>
          <w:p w14:paraId="36ABCDA1" w14:textId="704B6A74" w:rsidR="00545033" w:rsidRDefault="00545033" w:rsidP="00545033">
            <w:pPr>
              <w:pStyle w:val="TableText"/>
            </w:pPr>
            <w:r w:rsidRPr="00F21DDE">
              <w:t>277,454</w:t>
            </w:r>
          </w:p>
        </w:tc>
      </w:tr>
      <w:tr w:rsidR="00545033" w14:paraId="5D95D91C" w14:textId="77777777" w:rsidTr="00F469FF">
        <w:trPr>
          <w:trHeight w:val="20"/>
          <w:jc w:val="center"/>
        </w:trPr>
        <w:tc>
          <w:tcPr>
            <w:tcW w:w="1254" w:type="dxa"/>
            <w:tcBorders>
              <w:left w:val="nil"/>
            </w:tcBorders>
          </w:tcPr>
          <w:p w14:paraId="29A7DD49" w14:textId="77777777" w:rsidR="00545033" w:rsidRDefault="00545033" w:rsidP="00545033">
            <w:pPr>
              <w:pStyle w:val="TableColumn"/>
            </w:pPr>
            <w:r>
              <w:t>2009</w:t>
            </w:r>
          </w:p>
        </w:tc>
        <w:tc>
          <w:tcPr>
            <w:tcW w:w="1119" w:type="dxa"/>
            <w:tcBorders>
              <w:top w:val="single" w:sz="4" w:space="0" w:color="auto"/>
              <w:left w:val="nil"/>
              <w:bottom w:val="single" w:sz="4" w:space="0" w:color="auto"/>
              <w:right w:val="single" w:sz="4" w:space="0" w:color="auto"/>
            </w:tcBorders>
          </w:tcPr>
          <w:p w14:paraId="27E107D2" w14:textId="5CCD68A8" w:rsidR="00545033" w:rsidRDefault="00545033" w:rsidP="00545033">
            <w:pPr>
              <w:pStyle w:val="TableText"/>
            </w:pPr>
            <w:r>
              <w:t>4,295</w:t>
            </w:r>
          </w:p>
        </w:tc>
        <w:tc>
          <w:tcPr>
            <w:tcW w:w="1156" w:type="dxa"/>
            <w:tcBorders>
              <w:top w:val="single" w:sz="2" w:space="0" w:color="auto"/>
              <w:left w:val="single" w:sz="2" w:space="0" w:color="auto"/>
              <w:bottom w:val="single" w:sz="2" w:space="0" w:color="auto"/>
              <w:right w:val="single" w:sz="2" w:space="0" w:color="auto"/>
            </w:tcBorders>
            <w:vAlign w:val="bottom"/>
          </w:tcPr>
          <w:p w14:paraId="6E5A75DE" w14:textId="6F178C9F" w:rsidR="00545033" w:rsidRDefault="00545033" w:rsidP="00545033">
            <w:pPr>
              <w:pStyle w:val="TableText"/>
            </w:pPr>
            <w:r>
              <w:rPr>
                <w:color w:val="000000"/>
              </w:rPr>
              <w:t>44,808</w:t>
            </w:r>
          </w:p>
        </w:tc>
        <w:tc>
          <w:tcPr>
            <w:tcW w:w="1222" w:type="dxa"/>
            <w:tcBorders>
              <w:top w:val="single" w:sz="4" w:space="0" w:color="auto"/>
              <w:left w:val="single" w:sz="4" w:space="0" w:color="auto"/>
              <w:bottom w:val="single" w:sz="4" w:space="0" w:color="auto"/>
              <w:right w:val="single" w:sz="2" w:space="0" w:color="auto"/>
            </w:tcBorders>
          </w:tcPr>
          <w:p w14:paraId="7EF5D602" w14:textId="7F9410EE" w:rsidR="00545033" w:rsidRDefault="00545033" w:rsidP="00545033">
            <w:pPr>
              <w:pStyle w:val="TableText"/>
            </w:pPr>
            <w:r>
              <w:t>6,704</w:t>
            </w:r>
          </w:p>
        </w:tc>
        <w:tc>
          <w:tcPr>
            <w:tcW w:w="1189" w:type="dxa"/>
            <w:tcBorders>
              <w:left w:val="single" w:sz="2" w:space="0" w:color="auto"/>
            </w:tcBorders>
          </w:tcPr>
          <w:p w14:paraId="381FF8F2" w14:textId="2A34AD4D" w:rsidR="00545033" w:rsidRDefault="00545033" w:rsidP="00545033">
            <w:pPr>
              <w:pStyle w:val="TableText"/>
            </w:pPr>
            <w:r w:rsidRPr="008A05AA">
              <w:t>29,748</w:t>
            </w:r>
          </w:p>
        </w:tc>
        <w:tc>
          <w:tcPr>
            <w:tcW w:w="1121" w:type="dxa"/>
          </w:tcPr>
          <w:p w14:paraId="3D9E3D3F" w14:textId="41E92968" w:rsidR="00545033" w:rsidRDefault="00545033" w:rsidP="00545033">
            <w:pPr>
              <w:pStyle w:val="TableText"/>
            </w:pPr>
            <w:r w:rsidRPr="008A05AA">
              <w:t>119,594</w:t>
            </w:r>
          </w:p>
        </w:tc>
        <w:tc>
          <w:tcPr>
            <w:tcW w:w="2114" w:type="dxa"/>
            <w:tcBorders>
              <w:top w:val="single" w:sz="4" w:space="0" w:color="auto"/>
              <w:left w:val="nil"/>
              <w:bottom w:val="single" w:sz="4" w:space="0" w:color="auto"/>
            </w:tcBorders>
            <w:vAlign w:val="center"/>
          </w:tcPr>
          <w:p w14:paraId="2E5BE996" w14:textId="44DDD938" w:rsidR="00545033" w:rsidRDefault="00545033" w:rsidP="00545033">
            <w:pPr>
              <w:pStyle w:val="TableText"/>
            </w:pPr>
            <w:r>
              <w:rPr>
                <w:rFonts w:cs="Segoe UI Semilight"/>
                <w:color w:val="000000"/>
                <w:szCs w:val="18"/>
              </w:rPr>
              <w:t>36,150</w:t>
            </w:r>
          </w:p>
        </w:tc>
        <w:tc>
          <w:tcPr>
            <w:tcW w:w="905" w:type="dxa"/>
            <w:tcBorders>
              <w:right w:val="nil"/>
            </w:tcBorders>
          </w:tcPr>
          <w:p w14:paraId="482564B9" w14:textId="183FD68F" w:rsidR="00545033" w:rsidRDefault="00545033" w:rsidP="00545033">
            <w:pPr>
              <w:pStyle w:val="TableText"/>
            </w:pPr>
            <w:r w:rsidRPr="00F21DDE">
              <w:t>241,299</w:t>
            </w:r>
          </w:p>
        </w:tc>
      </w:tr>
      <w:tr w:rsidR="00545033" w14:paraId="471D3AEC" w14:textId="77777777" w:rsidTr="00F469FF">
        <w:trPr>
          <w:trHeight w:val="20"/>
          <w:jc w:val="center"/>
        </w:trPr>
        <w:tc>
          <w:tcPr>
            <w:tcW w:w="1254" w:type="dxa"/>
            <w:tcBorders>
              <w:left w:val="nil"/>
            </w:tcBorders>
          </w:tcPr>
          <w:p w14:paraId="58B6E116" w14:textId="77777777" w:rsidR="00545033" w:rsidRDefault="00545033" w:rsidP="00545033">
            <w:pPr>
              <w:pStyle w:val="TableColumn"/>
            </w:pPr>
            <w:r>
              <w:t>2010</w:t>
            </w:r>
          </w:p>
        </w:tc>
        <w:tc>
          <w:tcPr>
            <w:tcW w:w="1119" w:type="dxa"/>
            <w:tcBorders>
              <w:top w:val="single" w:sz="4" w:space="0" w:color="auto"/>
              <w:left w:val="nil"/>
              <w:bottom w:val="single" w:sz="4" w:space="0" w:color="auto"/>
              <w:right w:val="single" w:sz="4" w:space="0" w:color="auto"/>
            </w:tcBorders>
          </w:tcPr>
          <w:p w14:paraId="7AE5E1A1" w14:textId="38D14899" w:rsidR="00545033" w:rsidRDefault="00545033" w:rsidP="00545033">
            <w:pPr>
              <w:pStyle w:val="TableText"/>
            </w:pPr>
            <w:r>
              <w:t>6,053</w:t>
            </w:r>
          </w:p>
        </w:tc>
        <w:tc>
          <w:tcPr>
            <w:tcW w:w="1156" w:type="dxa"/>
            <w:tcBorders>
              <w:top w:val="single" w:sz="2" w:space="0" w:color="auto"/>
              <w:left w:val="single" w:sz="2" w:space="0" w:color="auto"/>
              <w:bottom w:val="single" w:sz="2" w:space="0" w:color="auto"/>
              <w:right w:val="single" w:sz="2" w:space="0" w:color="auto"/>
            </w:tcBorders>
            <w:vAlign w:val="bottom"/>
          </w:tcPr>
          <w:p w14:paraId="0CACC54C" w14:textId="757AB475" w:rsidR="00545033" w:rsidRDefault="00545033" w:rsidP="00545033">
            <w:pPr>
              <w:pStyle w:val="TableText"/>
            </w:pPr>
            <w:r>
              <w:rPr>
                <w:color w:val="000000"/>
              </w:rPr>
              <w:t>27,469</w:t>
            </w:r>
          </w:p>
        </w:tc>
        <w:tc>
          <w:tcPr>
            <w:tcW w:w="1222" w:type="dxa"/>
            <w:tcBorders>
              <w:top w:val="single" w:sz="4" w:space="0" w:color="auto"/>
              <w:left w:val="single" w:sz="4" w:space="0" w:color="auto"/>
              <w:bottom w:val="single" w:sz="4" w:space="0" w:color="auto"/>
              <w:right w:val="single" w:sz="2" w:space="0" w:color="auto"/>
            </w:tcBorders>
          </w:tcPr>
          <w:p w14:paraId="600DD91E" w14:textId="1F68A5C9" w:rsidR="00545033" w:rsidRDefault="00545033" w:rsidP="00545033">
            <w:pPr>
              <w:pStyle w:val="TableText"/>
            </w:pPr>
            <w:r>
              <w:t>6,693</w:t>
            </w:r>
          </w:p>
        </w:tc>
        <w:tc>
          <w:tcPr>
            <w:tcW w:w="1189" w:type="dxa"/>
            <w:tcBorders>
              <w:left w:val="single" w:sz="2" w:space="0" w:color="auto"/>
            </w:tcBorders>
          </w:tcPr>
          <w:p w14:paraId="0E4F4904" w14:textId="28E64ABB" w:rsidR="00545033" w:rsidRDefault="00545033" w:rsidP="00545033">
            <w:pPr>
              <w:pStyle w:val="TableText"/>
            </w:pPr>
            <w:r w:rsidRPr="008A05AA">
              <w:t>23,675</w:t>
            </w:r>
          </w:p>
        </w:tc>
        <w:tc>
          <w:tcPr>
            <w:tcW w:w="1121" w:type="dxa"/>
          </w:tcPr>
          <w:p w14:paraId="12B0CE43" w14:textId="25CDBA82" w:rsidR="00545033" w:rsidRDefault="00545033" w:rsidP="00545033">
            <w:pPr>
              <w:pStyle w:val="TableText"/>
            </w:pPr>
            <w:r w:rsidRPr="008A05AA">
              <w:t>113,015</w:t>
            </w:r>
          </w:p>
        </w:tc>
        <w:tc>
          <w:tcPr>
            <w:tcW w:w="2114" w:type="dxa"/>
            <w:tcBorders>
              <w:top w:val="single" w:sz="4" w:space="0" w:color="auto"/>
              <w:left w:val="nil"/>
              <w:bottom w:val="single" w:sz="4" w:space="0" w:color="auto"/>
            </w:tcBorders>
            <w:vAlign w:val="center"/>
          </w:tcPr>
          <w:p w14:paraId="4968B3A9" w14:textId="242EB954" w:rsidR="00545033" w:rsidRDefault="00545033" w:rsidP="00545033">
            <w:pPr>
              <w:pStyle w:val="TableText"/>
            </w:pPr>
            <w:r>
              <w:rPr>
                <w:rFonts w:cs="Segoe UI Semilight"/>
                <w:color w:val="000000"/>
                <w:szCs w:val="18"/>
              </w:rPr>
              <w:t>38,216</w:t>
            </w:r>
          </w:p>
        </w:tc>
        <w:tc>
          <w:tcPr>
            <w:tcW w:w="905" w:type="dxa"/>
            <w:tcBorders>
              <w:right w:val="nil"/>
            </w:tcBorders>
          </w:tcPr>
          <w:p w14:paraId="6531EB50" w14:textId="6416ED82" w:rsidR="00545033" w:rsidRDefault="00545033" w:rsidP="00545033">
            <w:pPr>
              <w:pStyle w:val="TableText"/>
            </w:pPr>
            <w:r w:rsidRPr="00F21DDE">
              <w:t>215,121</w:t>
            </w:r>
          </w:p>
        </w:tc>
      </w:tr>
      <w:tr w:rsidR="00545033" w14:paraId="4F165252" w14:textId="77777777" w:rsidTr="00F469FF">
        <w:trPr>
          <w:trHeight w:val="20"/>
          <w:jc w:val="center"/>
        </w:trPr>
        <w:tc>
          <w:tcPr>
            <w:tcW w:w="1254" w:type="dxa"/>
            <w:tcBorders>
              <w:left w:val="nil"/>
            </w:tcBorders>
          </w:tcPr>
          <w:p w14:paraId="476A47ED" w14:textId="77777777" w:rsidR="00545033" w:rsidRDefault="00545033" w:rsidP="00545033">
            <w:pPr>
              <w:pStyle w:val="TableColumn"/>
            </w:pPr>
            <w:r>
              <w:t>2011</w:t>
            </w:r>
          </w:p>
        </w:tc>
        <w:tc>
          <w:tcPr>
            <w:tcW w:w="1119" w:type="dxa"/>
            <w:tcBorders>
              <w:top w:val="single" w:sz="4" w:space="0" w:color="auto"/>
              <w:left w:val="nil"/>
              <w:bottom w:val="single" w:sz="4" w:space="0" w:color="auto"/>
              <w:right w:val="single" w:sz="4" w:space="0" w:color="auto"/>
            </w:tcBorders>
          </w:tcPr>
          <w:p w14:paraId="535620EB" w14:textId="1AE0EDC6" w:rsidR="00545033" w:rsidRDefault="00545033" w:rsidP="00545033">
            <w:pPr>
              <w:pStyle w:val="TableText"/>
            </w:pPr>
            <w:r>
              <w:t>8,067</w:t>
            </w:r>
          </w:p>
        </w:tc>
        <w:tc>
          <w:tcPr>
            <w:tcW w:w="1156" w:type="dxa"/>
            <w:tcBorders>
              <w:top w:val="single" w:sz="2" w:space="0" w:color="auto"/>
              <w:left w:val="single" w:sz="2" w:space="0" w:color="auto"/>
              <w:bottom w:val="single" w:sz="2" w:space="0" w:color="auto"/>
              <w:right w:val="single" w:sz="2" w:space="0" w:color="auto"/>
            </w:tcBorders>
            <w:vAlign w:val="bottom"/>
          </w:tcPr>
          <w:p w14:paraId="0329BBF8" w14:textId="7F69E0B7" w:rsidR="00545033" w:rsidRDefault="00545033" w:rsidP="00545033">
            <w:pPr>
              <w:pStyle w:val="TableText"/>
            </w:pPr>
            <w:r>
              <w:rPr>
                <w:color w:val="000000"/>
              </w:rPr>
              <w:t>35,120</w:t>
            </w:r>
          </w:p>
        </w:tc>
        <w:tc>
          <w:tcPr>
            <w:tcW w:w="1222" w:type="dxa"/>
            <w:tcBorders>
              <w:top w:val="single" w:sz="4" w:space="0" w:color="auto"/>
              <w:left w:val="single" w:sz="4" w:space="0" w:color="auto"/>
              <w:bottom w:val="single" w:sz="4" w:space="0" w:color="auto"/>
              <w:right w:val="single" w:sz="2" w:space="0" w:color="auto"/>
            </w:tcBorders>
          </w:tcPr>
          <w:p w14:paraId="2A39BEB3" w14:textId="5B19ADB4" w:rsidR="00545033" w:rsidRDefault="00545033" w:rsidP="00545033">
            <w:pPr>
              <w:pStyle w:val="TableText"/>
            </w:pPr>
            <w:r>
              <w:t>0</w:t>
            </w:r>
            <w:r w:rsidRPr="003F4420">
              <w:rPr>
                <w:vertAlign w:val="superscript"/>
              </w:rPr>
              <w:t>1</w:t>
            </w:r>
          </w:p>
        </w:tc>
        <w:tc>
          <w:tcPr>
            <w:tcW w:w="1189" w:type="dxa"/>
            <w:tcBorders>
              <w:left w:val="single" w:sz="2" w:space="0" w:color="auto"/>
            </w:tcBorders>
          </w:tcPr>
          <w:p w14:paraId="04559F04" w14:textId="6078C725" w:rsidR="00545033" w:rsidRDefault="00545033" w:rsidP="00545033">
            <w:pPr>
              <w:pStyle w:val="TableText"/>
            </w:pPr>
            <w:r w:rsidRPr="008A05AA">
              <w:t>27,168</w:t>
            </w:r>
          </w:p>
        </w:tc>
        <w:tc>
          <w:tcPr>
            <w:tcW w:w="1121" w:type="dxa"/>
          </w:tcPr>
          <w:p w14:paraId="63C20297" w14:textId="147CBFF2" w:rsidR="00545033" w:rsidRDefault="00545033" w:rsidP="00545033">
            <w:pPr>
              <w:pStyle w:val="TableText"/>
            </w:pPr>
            <w:r w:rsidRPr="008A05AA">
              <w:t>123,230</w:t>
            </w:r>
          </w:p>
        </w:tc>
        <w:tc>
          <w:tcPr>
            <w:tcW w:w="2114" w:type="dxa"/>
            <w:tcBorders>
              <w:top w:val="single" w:sz="4" w:space="0" w:color="auto"/>
              <w:left w:val="nil"/>
              <w:bottom w:val="single" w:sz="4" w:space="0" w:color="auto"/>
            </w:tcBorders>
            <w:vAlign w:val="center"/>
          </w:tcPr>
          <w:p w14:paraId="1EB2F6D5" w14:textId="2B36BA23" w:rsidR="00545033" w:rsidRDefault="00545033" w:rsidP="00545033">
            <w:pPr>
              <w:pStyle w:val="TableText"/>
            </w:pPr>
            <w:r>
              <w:rPr>
                <w:rFonts w:cs="Segoe UI Semilight"/>
                <w:color w:val="000000"/>
                <w:szCs w:val="18"/>
              </w:rPr>
              <w:t>40,318</w:t>
            </w:r>
          </w:p>
        </w:tc>
        <w:tc>
          <w:tcPr>
            <w:tcW w:w="905" w:type="dxa"/>
            <w:tcBorders>
              <w:right w:val="nil"/>
            </w:tcBorders>
          </w:tcPr>
          <w:p w14:paraId="6383B728" w14:textId="5EA291F4" w:rsidR="00545033" w:rsidRDefault="00545033" w:rsidP="00545033">
            <w:pPr>
              <w:pStyle w:val="TableText"/>
            </w:pPr>
            <w:r w:rsidRPr="00F21DDE">
              <w:t>233,904</w:t>
            </w:r>
          </w:p>
        </w:tc>
      </w:tr>
      <w:tr w:rsidR="00545033" w14:paraId="6BA1C938" w14:textId="77777777" w:rsidTr="00F469FF">
        <w:trPr>
          <w:trHeight w:val="20"/>
          <w:jc w:val="center"/>
        </w:trPr>
        <w:tc>
          <w:tcPr>
            <w:tcW w:w="1254" w:type="dxa"/>
            <w:tcBorders>
              <w:left w:val="nil"/>
            </w:tcBorders>
          </w:tcPr>
          <w:p w14:paraId="2660F6FF" w14:textId="77777777" w:rsidR="00545033" w:rsidRDefault="00545033" w:rsidP="00545033">
            <w:pPr>
              <w:pStyle w:val="TableColumn"/>
            </w:pPr>
            <w:r>
              <w:t>2012</w:t>
            </w:r>
          </w:p>
        </w:tc>
        <w:tc>
          <w:tcPr>
            <w:tcW w:w="1119" w:type="dxa"/>
            <w:tcBorders>
              <w:top w:val="single" w:sz="4" w:space="0" w:color="auto"/>
              <w:left w:val="nil"/>
              <w:bottom w:val="single" w:sz="4" w:space="0" w:color="auto"/>
              <w:right w:val="single" w:sz="4" w:space="0" w:color="auto"/>
            </w:tcBorders>
          </w:tcPr>
          <w:p w14:paraId="70F05AFE" w14:textId="42E5A028" w:rsidR="00545033" w:rsidRDefault="00545033" w:rsidP="00545033">
            <w:pPr>
              <w:pStyle w:val="TableText"/>
            </w:pPr>
            <w:r>
              <w:t>7,786</w:t>
            </w:r>
          </w:p>
        </w:tc>
        <w:tc>
          <w:tcPr>
            <w:tcW w:w="1156" w:type="dxa"/>
            <w:tcBorders>
              <w:top w:val="single" w:sz="2" w:space="0" w:color="auto"/>
              <w:left w:val="single" w:sz="2" w:space="0" w:color="auto"/>
              <w:bottom w:val="single" w:sz="2" w:space="0" w:color="auto"/>
              <w:right w:val="single" w:sz="2" w:space="0" w:color="auto"/>
            </w:tcBorders>
            <w:vAlign w:val="bottom"/>
          </w:tcPr>
          <w:p w14:paraId="327C333E" w14:textId="1BDEC232" w:rsidR="00545033" w:rsidRDefault="00545033" w:rsidP="00545033">
            <w:pPr>
              <w:pStyle w:val="TableText"/>
            </w:pPr>
            <w:r>
              <w:rPr>
                <w:color w:val="000000"/>
              </w:rPr>
              <w:t>16,482</w:t>
            </w:r>
          </w:p>
        </w:tc>
        <w:tc>
          <w:tcPr>
            <w:tcW w:w="1222" w:type="dxa"/>
            <w:tcBorders>
              <w:top w:val="single" w:sz="4" w:space="0" w:color="auto"/>
              <w:left w:val="single" w:sz="4" w:space="0" w:color="auto"/>
              <w:bottom w:val="single" w:sz="4" w:space="0" w:color="auto"/>
              <w:right w:val="single" w:sz="2" w:space="0" w:color="auto"/>
            </w:tcBorders>
          </w:tcPr>
          <w:p w14:paraId="4FDFB19E" w14:textId="731CC9F2" w:rsidR="00545033" w:rsidRDefault="00545033" w:rsidP="00545033">
            <w:pPr>
              <w:pStyle w:val="TableText"/>
            </w:pPr>
            <w:r>
              <w:t>0</w:t>
            </w:r>
            <w:r w:rsidRPr="003F4420">
              <w:rPr>
                <w:vertAlign w:val="superscript"/>
              </w:rPr>
              <w:t>1</w:t>
            </w:r>
          </w:p>
        </w:tc>
        <w:tc>
          <w:tcPr>
            <w:tcW w:w="1189" w:type="dxa"/>
            <w:tcBorders>
              <w:left w:val="single" w:sz="2" w:space="0" w:color="auto"/>
            </w:tcBorders>
          </w:tcPr>
          <w:p w14:paraId="53ADD13D" w14:textId="10DC50CD" w:rsidR="00545033" w:rsidRDefault="00545033" w:rsidP="00545033">
            <w:pPr>
              <w:pStyle w:val="TableText"/>
            </w:pPr>
            <w:r w:rsidRPr="008A05AA">
              <w:t>27,505</w:t>
            </w:r>
          </w:p>
        </w:tc>
        <w:tc>
          <w:tcPr>
            <w:tcW w:w="1121" w:type="dxa"/>
          </w:tcPr>
          <w:p w14:paraId="4E40FF01" w14:textId="6F14908D" w:rsidR="00545033" w:rsidRDefault="00545033" w:rsidP="00545033">
            <w:pPr>
              <w:pStyle w:val="TableText"/>
            </w:pPr>
            <w:r w:rsidRPr="008A05AA">
              <w:t>131,873</w:t>
            </w:r>
          </w:p>
        </w:tc>
        <w:tc>
          <w:tcPr>
            <w:tcW w:w="2114" w:type="dxa"/>
            <w:tcBorders>
              <w:top w:val="single" w:sz="4" w:space="0" w:color="auto"/>
              <w:left w:val="nil"/>
              <w:bottom w:val="single" w:sz="4" w:space="0" w:color="auto"/>
            </w:tcBorders>
            <w:vAlign w:val="center"/>
          </w:tcPr>
          <w:p w14:paraId="6275FB80" w14:textId="79D95896" w:rsidR="00545033" w:rsidRDefault="00545033" w:rsidP="00545033">
            <w:pPr>
              <w:pStyle w:val="TableText"/>
            </w:pPr>
            <w:r>
              <w:rPr>
                <w:rFonts w:cs="Segoe UI Semilight"/>
                <w:color w:val="000000"/>
                <w:szCs w:val="18"/>
              </w:rPr>
              <w:t>48,699</w:t>
            </w:r>
          </w:p>
        </w:tc>
        <w:tc>
          <w:tcPr>
            <w:tcW w:w="905" w:type="dxa"/>
            <w:tcBorders>
              <w:right w:val="nil"/>
            </w:tcBorders>
          </w:tcPr>
          <w:p w14:paraId="36A178BD" w14:textId="1DC635E7" w:rsidR="00545033" w:rsidRDefault="00545033" w:rsidP="00545033">
            <w:pPr>
              <w:pStyle w:val="TableText"/>
            </w:pPr>
            <w:r w:rsidRPr="00F21DDE">
              <w:t>232,346</w:t>
            </w:r>
          </w:p>
        </w:tc>
      </w:tr>
      <w:tr w:rsidR="00545033" w14:paraId="3F06E675" w14:textId="77777777" w:rsidTr="00F469FF">
        <w:trPr>
          <w:trHeight w:val="20"/>
          <w:jc w:val="center"/>
        </w:trPr>
        <w:tc>
          <w:tcPr>
            <w:tcW w:w="1254" w:type="dxa"/>
            <w:tcBorders>
              <w:left w:val="nil"/>
            </w:tcBorders>
          </w:tcPr>
          <w:p w14:paraId="38B14C06" w14:textId="77777777" w:rsidR="00545033" w:rsidRDefault="00545033" w:rsidP="00545033">
            <w:pPr>
              <w:pStyle w:val="TableColumn"/>
            </w:pPr>
            <w:r>
              <w:t>2013</w:t>
            </w:r>
          </w:p>
        </w:tc>
        <w:tc>
          <w:tcPr>
            <w:tcW w:w="1119" w:type="dxa"/>
            <w:tcBorders>
              <w:top w:val="single" w:sz="4" w:space="0" w:color="auto"/>
              <w:left w:val="nil"/>
              <w:bottom w:val="single" w:sz="4" w:space="0" w:color="auto"/>
              <w:right w:val="single" w:sz="4" w:space="0" w:color="auto"/>
            </w:tcBorders>
          </w:tcPr>
          <w:p w14:paraId="04BE6491" w14:textId="2A62A6B4" w:rsidR="00545033" w:rsidRDefault="00545033" w:rsidP="00545033">
            <w:pPr>
              <w:pStyle w:val="TableText"/>
            </w:pPr>
            <w:r>
              <w:t>3,246</w:t>
            </w:r>
          </w:p>
        </w:tc>
        <w:tc>
          <w:tcPr>
            <w:tcW w:w="1156" w:type="dxa"/>
            <w:tcBorders>
              <w:top w:val="single" w:sz="2" w:space="0" w:color="auto"/>
              <w:left w:val="single" w:sz="2" w:space="0" w:color="auto"/>
              <w:bottom w:val="single" w:sz="2" w:space="0" w:color="auto"/>
              <w:right w:val="single" w:sz="2" w:space="0" w:color="auto"/>
            </w:tcBorders>
            <w:vAlign w:val="bottom"/>
          </w:tcPr>
          <w:p w14:paraId="19E8CBA8" w14:textId="4BCCB96D" w:rsidR="00545033" w:rsidRDefault="00545033" w:rsidP="00545033">
            <w:pPr>
              <w:pStyle w:val="TableText"/>
            </w:pPr>
            <w:r>
              <w:rPr>
                <w:color w:val="000000"/>
              </w:rPr>
              <w:t>22,021</w:t>
            </w:r>
          </w:p>
        </w:tc>
        <w:tc>
          <w:tcPr>
            <w:tcW w:w="1222" w:type="dxa"/>
            <w:tcBorders>
              <w:top w:val="single" w:sz="4" w:space="0" w:color="auto"/>
              <w:left w:val="single" w:sz="4" w:space="0" w:color="auto"/>
              <w:bottom w:val="single" w:sz="4" w:space="0" w:color="auto"/>
              <w:right w:val="single" w:sz="2" w:space="0" w:color="auto"/>
            </w:tcBorders>
          </w:tcPr>
          <w:p w14:paraId="1724AEBF" w14:textId="61C69256" w:rsidR="00545033" w:rsidRDefault="00545033" w:rsidP="00545033">
            <w:pPr>
              <w:pStyle w:val="TableText"/>
            </w:pPr>
            <w:r>
              <w:t>779</w:t>
            </w:r>
          </w:p>
        </w:tc>
        <w:tc>
          <w:tcPr>
            <w:tcW w:w="1189" w:type="dxa"/>
            <w:tcBorders>
              <w:left w:val="single" w:sz="2" w:space="0" w:color="auto"/>
            </w:tcBorders>
          </w:tcPr>
          <w:p w14:paraId="7550A555" w14:textId="02FA6763" w:rsidR="00545033" w:rsidRDefault="00545033" w:rsidP="00545033">
            <w:pPr>
              <w:pStyle w:val="TableText"/>
            </w:pPr>
            <w:r w:rsidRPr="008A05AA">
              <w:t>29,521</w:t>
            </w:r>
          </w:p>
        </w:tc>
        <w:tc>
          <w:tcPr>
            <w:tcW w:w="1121" w:type="dxa"/>
          </w:tcPr>
          <w:p w14:paraId="31E3A6D0" w14:textId="5B5D05AC" w:rsidR="00545033" w:rsidRDefault="00545033" w:rsidP="00545033">
            <w:pPr>
              <w:pStyle w:val="TableText"/>
            </w:pPr>
            <w:r w:rsidRPr="008A05AA">
              <w:t>128,238</w:t>
            </w:r>
          </w:p>
        </w:tc>
        <w:tc>
          <w:tcPr>
            <w:tcW w:w="2114" w:type="dxa"/>
            <w:tcBorders>
              <w:top w:val="single" w:sz="4" w:space="0" w:color="auto"/>
              <w:left w:val="nil"/>
              <w:bottom w:val="single" w:sz="4" w:space="0" w:color="auto"/>
            </w:tcBorders>
            <w:vAlign w:val="center"/>
          </w:tcPr>
          <w:p w14:paraId="64FA94FB" w14:textId="66DFBAC4" w:rsidR="00545033" w:rsidRDefault="00545033" w:rsidP="00545033">
            <w:pPr>
              <w:pStyle w:val="TableText"/>
            </w:pPr>
            <w:r>
              <w:rPr>
                <w:rFonts w:cs="Segoe UI Semilight"/>
                <w:color w:val="000000"/>
                <w:szCs w:val="18"/>
              </w:rPr>
              <w:t>37,825</w:t>
            </w:r>
          </w:p>
        </w:tc>
        <w:tc>
          <w:tcPr>
            <w:tcW w:w="905" w:type="dxa"/>
            <w:tcBorders>
              <w:right w:val="nil"/>
            </w:tcBorders>
          </w:tcPr>
          <w:p w14:paraId="43917A20" w14:textId="580EA6D9" w:rsidR="00545033" w:rsidRDefault="00545033" w:rsidP="00545033">
            <w:pPr>
              <w:pStyle w:val="TableText"/>
            </w:pPr>
            <w:r w:rsidRPr="00F21DDE">
              <w:t>221,630</w:t>
            </w:r>
          </w:p>
        </w:tc>
      </w:tr>
      <w:tr w:rsidR="00545033" w14:paraId="05EA81DE" w14:textId="77777777" w:rsidTr="00F469FF">
        <w:trPr>
          <w:trHeight w:val="20"/>
          <w:jc w:val="center"/>
        </w:trPr>
        <w:tc>
          <w:tcPr>
            <w:tcW w:w="1254" w:type="dxa"/>
            <w:tcBorders>
              <w:left w:val="nil"/>
            </w:tcBorders>
          </w:tcPr>
          <w:p w14:paraId="06C3DF43" w14:textId="77777777" w:rsidR="00545033" w:rsidRDefault="00545033" w:rsidP="00545033">
            <w:pPr>
              <w:pStyle w:val="TableColumn"/>
            </w:pPr>
            <w:r>
              <w:t>2014</w:t>
            </w:r>
          </w:p>
        </w:tc>
        <w:tc>
          <w:tcPr>
            <w:tcW w:w="1119" w:type="dxa"/>
            <w:tcBorders>
              <w:top w:val="single" w:sz="4" w:space="0" w:color="auto"/>
              <w:left w:val="nil"/>
              <w:bottom w:val="single" w:sz="4" w:space="0" w:color="auto"/>
              <w:right w:val="single" w:sz="4" w:space="0" w:color="auto"/>
            </w:tcBorders>
          </w:tcPr>
          <w:p w14:paraId="2358CF21" w14:textId="0543C391" w:rsidR="00545033" w:rsidRPr="008C7345" w:rsidRDefault="00545033" w:rsidP="00545033">
            <w:pPr>
              <w:pStyle w:val="TableText"/>
            </w:pPr>
            <w:r>
              <w:t>701</w:t>
            </w:r>
          </w:p>
        </w:tc>
        <w:tc>
          <w:tcPr>
            <w:tcW w:w="1156" w:type="dxa"/>
            <w:tcBorders>
              <w:top w:val="single" w:sz="2" w:space="0" w:color="auto"/>
              <w:left w:val="single" w:sz="2" w:space="0" w:color="auto"/>
              <w:bottom w:val="single" w:sz="2" w:space="0" w:color="auto"/>
              <w:right w:val="single" w:sz="2" w:space="0" w:color="auto"/>
            </w:tcBorders>
            <w:vAlign w:val="bottom"/>
          </w:tcPr>
          <w:p w14:paraId="410598B1" w14:textId="07F26C75" w:rsidR="00545033" w:rsidRDefault="00545033" w:rsidP="00545033">
            <w:pPr>
              <w:pStyle w:val="TableText"/>
            </w:pPr>
            <w:r>
              <w:rPr>
                <w:color w:val="000000"/>
              </w:rPr>
              <w:t>13,033</w:t>
            </w:r>
          </w:p>
        </w:tc>
        <w:tc>
          <w:tcPr>
            <w:tcW w:w="1222" w:type="dxa"/>
            <w:tcBorders>
              <w:top w:val="single" w:sz="4" w:space="0" w:color="auto"/>
              <w:left w:val="single" w:sz="4" w:space="0" w:color="auto"/>
              <w:bottom w:val="single" w:sz="4" w:space="0" w:color="auto"/>
              <w:right w:val="single" w:sz="2" w:space="0" w:color="auto"/>
            </w:tcBorders>
          </w:tcPr>
          <w:p w14:paraId="210EEAE6" w14:textId="12D99A6A" w:rsidR="00545033" w:rsidRPr="00962AD5" w:rsidRDefault="00545033" w:rsidP="00545033">
            <w:pPr>
              <w:pStyle w:val="TableText"/>
            </w:pPr>
            <w:r>
              <w:t>1,676</w:t>
            </w:r>
          </w:p>
        </w:tc>
        <w:tc>
          <w:tcPr>
            <w:tcW w:w="1189" w:type="dxa"/>
            <w:tcBorders>
              <w:left w:val="single" w:sz="2" w:space="0" w:color="auto"/>
            </w:tcBorders>
          </w:tcPr>
          <w:p w14:paraId="54563F16" w14:textId="1AAF86FC" w:rsidR="00545033" w:rsidRPr="00962AD5" w:rsidRDefault="00545033" w:rsidP="00545033">
            <w:pPr>
              <w:pStyle w:val="TableText"/>
            </w:pPr>
            <w:r w:rsidRPr="008A05AA">
              <w:t>26,444</w:t>
            </w:r>
          </w:p>
        </w:tc>
        <w:tc>
          <w:tcPr>
            <w:tcW w:w="1121" w:type="dxa"/>
          </w:tcPr>
          <w:p w14:paraId="0BBF1E6A" w14:textId="5ADA2073" w:rsidR="00545033" w:rsidRDefault="00545033" w:rsidP="00545033">
            <w:pPr>
              <w:pStyle w:val="TableText"/>
            </w:pPr>
            <w:r w:rsidRPr="008A05AA">
              <w:t>142,942</w:t>
            </w:r>
          </w:p>
        </w:tc>
        <w:tc>
          <w:tcPr>
            <w:tcW w:w="2114" w:type="dxa"/>
            <w:tcBorders>
              <w:top w:val="single" w:sz="4" w:space="0" w:color="auto"/>
              <w:left w:val="nil"/>
              <w:bottom w:val="single" w:sz="4" w:space="0" w:color="auto"/>
            </w:tcBorders>
            <w:vAlign w:val="center"/>
          </w:tcPr>
          <w:p w14:paraId="33506A54" w14:textId="3B353B67" w:rsidR="00545033" w:rsidRDefault="00545033" w:rsidP="00545033">
            <w:pPr>
              <w:pStyle w:val="TableText"/>
            </w:pPr>
            <w:r>
              <w:rPr>
                <w:rFonts w:cs="Segoe UI Semilight"/>
                <w:color w:val="000000"/>
                <w:szCs w:val="18"/>
              </w:rPr>
              <w:t>27,733</w:t>
            </w:r>
          </w:p>
        </w:tc>
        <w:tc>
          <w:tcPr>
            <w:tcW w:w="905" w:type="dxa"/>
            <w:tcBorders>
              <w:right w:val="nil"/>
            </w:tcBorders>
          </w:tcPr>
          <w:p w14:paraId="49380A28" w14:textId="4523BB0F" w:rsidR="00545033" w:rsidRDefault="00545033" w:rsidP="00545033">
            <w:pPr>
              <w:pStyle w:val="TableText"/>
            </w:pPr>
            <w:r w:rsidRPr="00F21DDE">
              <w:t>212,529</w:t>
            </w:r>
          </w:p>
        </w:tc>
      </w:tr>
      <w:tr w:rsidR="00545033" w14:paraId="7C755C9A" w14:textId="77777777" w:rsidTr="00F469FF">
        <w:trPr>
          <w:trHeight w:val="20"/>
          <w:jc w:val="center"/>
        </w:trPr>
        <w:tc>
          <w:tcPr>
            <w:tcW w:w="1254" w:type="dxa"/>
            <w:tcBorders>
              <w:left w:val="nil"/>
            </w:tcBorders>
          </w:tcPr>
          <w:p w14:paraId="1084D341" w14:textId="77777777" w:rsidR="00545033" w:rsidRDefault="00545033" w:rsidP="00545033">
            <w:pPr>
              <w:pStyle w:val="TableColumn"/>
            </w:pPr>
            <w:r>
              <w:t>2015</w:t>
            </w:r>
          </w:p>
        </w:tc>
        <w:tc>
          <w:tcPr>
            <w:tcW w:w="1119" w:type="dxa"/>
            <w:tcBorders>
              <w:top w:val="single" w:sz="4" w:space="0" w:color="auto"/>
              <w:left w:val="nil"/>
              <w:bottom w:val="single" w:sz="4" w:space="0" w:color="auto"/>
              <w:right w:val="single" w:sz="4" w:space="0" w:color="auto"/>
            </w:tcBorders>
          </w:tcPr>
          <w:p w14:paraId="52A92187" w14:textId="0B51094B" w:rsidR="00545033" w:rsidRPr="008C7345" w:rsidRDefault="00545033" w:rsidP="00545033">
            <w:pPr>
              <w:pStyle w:val="TableText"/>
            </w:pPr>
            <w:r>
              <w:t>2,652</w:t>
            </w:r>
          </w:p>
        </w:tc>
        <w:tc>
          <w:tcPr>
            <w:tcW w:w="1156" w:type="dxa"/>
            <w:tcBorders>
              <w:top w:val="single" w:sz="2" w:space="0" w:color="auto"/>
              <w:left w:val="single" w:sz="2" w:space="0" w:color="auto"/>
              <w:bottom w:val="single" w:sz="2" w:space="0" w:color="auto"/>
              <w:right w:val="single" w:sz="2" w:space="0" w:color="auto"/>
            </w:tcBorders>
            <w:vAlign w:val="bottom"/>
          </w:tcPr>
          <w:p w14:paraId="68EB9B59" w14:textId="7A378085" w:rsidR="00545033" w:rsidRDefault="00545033" w:rsidP="00545033">
            <w:pPr>
              <w:pStyle w:val="TableText"/>
            </w:pPr>
            <w:r>
              <w:rPr>
                <w:color w:val="000000"/>
              </w:rPr>
              <w:t>27,555</w:t>
            </w:r>
          </w:p>
        </w:tc>
        <w:tc>
          <w:tcPr>
            <w:tcW w:w="1222" w:type="dxa"/>
            <w:tcBorders>
              <w:top w:val="single" w:sz="4" w:space="0" w:color="auto"/>
              <w:left w:val="single" w:sz="4" w:space="0" w:color="auto"/>
              <w:bottom w:val="single" w:sz="4" w:space="0" w:color="auto"/>
              <w:right w:val="single" w:sz="2" w:space="0" w:color="auto"/>
            </w:tcBorders>
          </w:tcPr>
          <w:p w14:paraId="3D782BBC" w14:textId="0EBFA362" w:rsidR="00545033" w:rsidRPr="00962AD5" w:rsidRDefault="00545033" w:rsidP="00545033">
            <w:pPr>
              <w:pStyle w:val="TableText"/>
            </w:pPr>
            <w:r>
              <w:t>1,331</w:t>
            </w:r>
          </w:p>
        </w:tc>
        <w:tc>
          <w:tcPr>
            <w:tcW w:w="1189" w:type="dxa"/>
            <w:tcBorders>
              <w:left w:val="single" w:sz="2" w:space="0" w:color="auto"/>
            </w:tcBorders>
          </w:tcPr>
          <w:p w14:paraId="46329028" w14:textId="7D1BD0BD" w:rsidR="00545033" w:rsidRPr="00962AD5" w:rsidRDefault="00545033" w:rsidP="00545033">
            <w:pPr>
              <w:pStyle w:val="TableText"/>
            </w:pPr>
            <w:r w:rsidRPr="008A05AA">
              <w:t>24,565</w:t>
            </w:r>
          </w:p>
        </w:tc>
        <w:tc>
          <w:tcPr>
            <w:tcW w:w="1121" w:type="dxa"/>
          </w:tcPr>
          <w:p w14:paraId="1CD1259A" w14:textId="2F23D141" w:rsidR="00545033" w:rsidRDefault="00545033" w:rsidP="00545033">
            <w:pPr>
              <w:pStyle w:val="TableText"/>
            </w:pPr>
            <w:r w:rsidRPr="008A05AA">
              <w:t>97,843</w:t>
            </w:r>
          </w:p>
        </w:tc>
        <w:tc>
          <w:tcPr>
            <w:tcW w:w="2114" w:type="dxa"/>
            <w:tcBorders>
              <w:top w:val="single" w:sz="4" w:space="0" w:color="auto"/>
              <w:left w:val="nil"/>
              <w:bottom w:val="single" w:sz="4" w:space="0" w:color="auto"/>
            </w:tcBorders>
            <w:vAlign w:val="center"/>
          </w:tcPr>
          <w:p w14:paraId="76BF715A" w14:textId="4D76E46A" w:rsidR="00545033" w:rsidRDefault="00545033" w:rsidP="00545033">
            <w:pPr>
              <w:pStyle w:val="TableText"/>
            </w:pPr>
            <w:r>
              <w:rPr>
                <w:rFonts w:cs="Segoe UI Semilight"/>
                <w:color w:val="000000"/>
                <w:szCs w:val="18"/>
              </w:rPr>
              <w:t>34,718</w:t>
            </w:r>
          </w:p>
        </w:tc>
        <w:tc>
          <w:tcPr>
            <w:tcW w:w="905" w:type="dxa"/>
            <w:tcBorders>
              <w:right w:val="nil"/>
            </w:tcBorders>
          </w:tcPr>
          <w:p w14:paraId="0E12A5F5" w14:textId="06CBFB54" w:rsidR="00545033" w:rsidRDefault="00545033" w:rsidP="00545033">
            <w:pPr>
              <w:pStyle w:val="TableText"/>
            </w:pPr>
            <w:r w:rsidRPr="00F21DDE">
              <w:t>188,664</w:t>
            </w:r>
          </w:p>
        </w:tc>
      </w:tr>
      <w:tr w:rsidR="00545033" w14:paraId="691899F4" w14:textId="77777777" w:rsidTr="00F469FF">
        <w:trPr>
          <w:trHeight w:val="20"/>
          <w:jc w:val="center"/>
        </w:trPr>
        <w:tc>
          <w:tcPr>
            <w:tcW w:w="1254" w:type="dxa"/>
            <w:tcBorders>
              <w:left w:val="nil"/>
            </w:tcBorders>
          </w:tcPr>
          <w:p w14:paraId="3D6E6D6B" w14:textId="77777777" w:rsidR="00545033" w:rsidRDefault="00545033" w:rsidP="00545033">
            <w:pPr>
              <w:pStyle w:val="TableColumn"/>
            </w:pPr>
            <w:r>
              <w:t>2016</w:t>
            </w:r>
          </w:p>
        </w:tc>
        <w:tc>
          <w:tcPr>
            <w:tcW w:w="1119" w:type="dxa"/>
            <w:tcBorders>
              <w:top w:val="single" w:sz="4" w:space="0" w:color="auto"/>
              <w:left w:val="nil"/>
              <w:bottom w:val="single" w:sz="4" w:space="0" w:color="auto"/>
              <w:right w:val="single" w:sz="4" w:space="0" w:color="auto"/>
            </w:tcBorders>
          </w:tcPr>
          <w:p w14:paraId="506863E2" w14:textId="4657035E" w:rsidR="00545033" w:rsidRPr="008C7345" w:rsidRDefault="00545033" w:rsidP="00545033">
            <w:pPr>
              <w:pStyle w:val="TableText"/>
            </w:pPr>
            <w:r>
              <w:t>6,029</w:t>
            </w:r>
          </w:p>
        </w:tc>
        <w:tc>
          <w:tcPr>
            <w:tcW w:w="1156" w:type="dxa"/>
            <w:tcBorders>
              <w:top w:val="single" w:sz="2" w:space="0" w:color="auto"/>
              <w:left w:val="single" w:sz="2" w:space="0" w:color="auto"/>
              <w:bottom w:val="single" w:sz="2" w:space="0" w:color="auto"/>
              <w:right w:val="single" w:sz="2" w:space="0" w:color="auto"/>
            </w:tcBorders>
            <w:vAlign w:val="bottom"/>
          </w:tcPr>
          <w:p w14:paraId="532A52B8" w14:textId="3E4A5B1D" w:rsidR="00545033" w:rsidRDefault="00545033" w:rsidP="00545033">
            <w:pPr>
              <w:pStyle w:val="TableText"/>
            </w:pPr>
            <w:r>
              <w:rPr>
                <w:color w:val="000000"/>
              </w:rPr>
              <w:t>10,095</w:t>
            </w:r>
          </w:p>
        </w:tc>
        <w:tc>
          <w:tcPr>
            <w:tcW w:w="1222" w:type="dxa"/>
            <w:tcBorders>
              <w:top w:val="single" w:sz="4" w:space="0" w:color="auto"/>
              <w:left w:val="single" w:sz="4" w:space="0" w:color="auto"/>
              <w:bottom w:val="single" w:sz="4" w:space="0" w:color="auto"/>
              <w:right w:val="single" w:sz="2" w:space="0" w:color="auto"/>
            </w:tcBorders>
          </w:tcPr>
          <w:p w14:paraId="4FCCAFEA" w14:textId="31B3A0BD" w:rsidR="00545033" w:rsidRPr="00962AD5" w:rsidRDefault="00545033" w:rsidP="00545033">
            <w:pPr>
              <w:pStyle w:val="TableText"/>
            </w:pPr>
            <w:r>
              <w:t>2,408</w:t>
            </w:r>
          </w:p>
        </w:tc>
        <w:tc>
          <w:tcPr>
            <w:tcW w:w="1189" w:type="dxa"/>
            <w:tcBorders>
              <w:left w:val="single" w:sz="2" w:space="0" w:color="auto"/>
            </w:tcBorders>
          </w:tcPr>
          <w:p w14:paraId="7A85838A" w14:textId="0C1F885A" w:rsidR="00545033" w:rsidRPr="00962AD5" w:rsidRDefault="00545033" w:rsidP="00545033">
            <w:pPr>
              <w:pStyle w:val="TableText"/>
            </w:pPr>
            <w:r w:rsidRPr="008A05AA">
              <w:t>30,956</w:t>
            </w:r>
          </w:p>
        </w:tc>
        <w:tc>
          <w:tcPr>
            <w:tcW w:w="1121" w:type="dxa"/>
          </w:tcPr>
          <w:p w14:paraId="6F1435AC" w14:textId="30BEA117" w:rsidR="00545033" w:rsidRDefault="00545033" w:rsidP="00545033">
            <w:pPr>
              <w:pStyle w:val="TableText"/>
            </w:pPr>
            <w:r w:rsidRPr="008A05AA">
              <w:t>110,302</w:t>
            </w:r>
          </w:p>
        </w:tc>
        <w:tc>
          <w:tcPr>
            <w:tcW w:w="2114" w:type="dxa"/>
            <w:tcBorders>
              <w:top w:val="single" w:sz="4" w:space="0" w:color="auto"/>
              <w:left w:val="nil"/>
              <w:bottom w:val="single" w:sz="4" w:space="0" w:color="auto"/>
            </w:tcBorders>
            <w:vAlign w:val="center"/>
          </w:tcPr>
          <w:p w14:paraId="40D3F241" w14:textId="253238EE" w:rsidR="00545033" w:rsidRDefault="00545033" w:rsidP="00545033">
            <w:pPr>
              <w:pStyle w:val="TableText"/>
            </w:pPr>
            <w:r>
              <w:rPr>
                <w:rFonts w:cs="Segoe UI Semilight"/>
                <w:color w:val="000000"/>
                <w:szCs w:val="18"/>
              </w:rPr>
              <w:t>32,271</w:t>
            </w:r>
          </w:p>
        </w:tc>
        <w:tc>
          <w:tcPr>
            <w:tcW w:w="905" w:type="dxa"/>
            <w:tcBorders>
              <w:right w:val="nil"/>
            </w:tcBorders>
          </w:tcPr>
          <w:p w14:paraId="30E1FFA1" w14:textId="5A7586ED" w:rsidR="00545033" w:rsidRDefault="00545033" w:rsidP="00545033">
            <w:pPr>
              <w:pStyle w:val="TableText"/>
            </w:pPr>
            <w:r w:rsidRPr="00F21DDE">
              <w:t>192,061</w:t>
            </w:r>
          </w:p>
        </w:tc>
      </w:tr>
      <w:tr w:rsidR="00545033" w14:paraId="4488F53E" w14:textId="77777777" w:rsidTr="00F469FF">
        <w:trPr>
          <w:trHeight w:val="20"/>
          <w:jc w:val="center"/>
        </w:trPr>
        <w:tc>
          <w:tcPr>
            <w:tcW w:w="1254" w:type="dxa"/>
            <w:tcBorders>
              <w:left w:val="nil"/>
            </w:tcBorders>
          </w:tcPr>
          <w:p w14:paraId="6FD71701" w14:textId="77777777" w:rsidR="00545033" w:rsidRDefault="00545033" w:rsidP="00545033">
            <w:pPr>
              <w:pStyle w:val="TableColumn"/>
            </w:pPr>
            <w:r>
              <w:t>2017</w:t>
            </w:r>
          </w:p>
        </w:tc>
        <w:tc>
          <w:tcPr>
            <w:tcW w:w="1119" w:type="dxa"/>
            <w:tcBorders>
              <w:top w:val="single" w:sz="4" w:space="0" w:color="auto"/>
              <w:left w:val="nil"/>
              <w:bottom w:val="single" w:sz="4" w:space="0" w:color="auto"/>
              <w:right w:val="single" w:sz="4" w:space="0" w:color="auto"/>
            </w:tcBorders>
          </w:tcPr>
          <w:p w14:paraId="299A7AC0" w14:textId="31BEC351" w:rsidR="00545033" w:rsidRPr="008C7345" w:rsidRDefault="00545033" w:rsidP="00545033">
            <w:pPr>
              <w:pStyle w:val="TableText"/>
            </w:pPr>
            <w:r>
              <w:t>9,203</w:t>
            </w:r>
          </w:p>
        </w:tc>
        <w:tc>
          <w:tcPr>
            <w:tcW w:w="1156" w:type="dxa"/>
            <w:tcBorders>
              <w:top w:val="single" w:sz="2" w:space="0" w:color="auto"/>
              <w:left w:val="single" w:sz="2" w:space="0" w:color="auto"/>
              <w:bottom w:val="single" w:sz="2" w:space="0" w:color="auto"/>
              <w:right w:val="single" w:sz="2" w:space="0" w:color="auto"/>
            </w:tcBorders>
            <w:vAlign w:val="bottom"/>
          </w:tcPr>
          <w:p w14:paraId="30D9724D" w14:textId="4596377C" w:rsidR="00545033" w:rsidRDefault="00545033" w:rsidP="00545033">
            <w:pPr>
              <w:pStyle w:val="TableText"/>
            </w:pPr>
            <w:r>
              <w:rPr>
                <w:color w:val="000000"/>
              </w:rPr>
              <w:t>37,066</w:t>
            </w:r>
          </w:p>
        </w:tc>
        <w:tc>
          <w:tcPr>
            <w:tcW w:w="1222" w:type="dxa"/>
            <w:tcBorders>
              <w:top w:val="single" w:sz="4" w:space="0" w:color="auto"/>
              <w:left w:val="single" w:sz="4" w:space="0" w:color="auto"/>
              <w:bottom w:val="single" w:sz="4" w:space="0" w:color="auto"/>
              <w:right w:val="single" w:sz="2" w:space="0" w:color="auto"/>
            </w:tcBorders>
          </w:tcPr>
          <w:p w14:paraId="2663D51E" w14:textId="19B43171" w:rsidR="00545033" w:rsidRPr="00962AD5" w:rsidRDefault="00545033" w:rsidP="00545033">
            <w:pPr>
              <w:pStyle w:val="TableText"/>
            </w:pPr>
            <w:r>
              <w:t>2,719</w:t>
            </w:r>
          </w:p>
        </w:tc>
        <w:tc>
          <w:tcPr>
            <w:tcW w:w="1189" w:type="dxa"/>
            <w:tcBorders>
              <w:left w:val="single" w:sz="2" w:space="0" w:color="auto"/>
            </w:tcBorders>
          </w:tcPr>
          <w:p w14:paraId="5EF3B0AB" w14:textId="1C36B245" w:rsidR="00545033" w:rsidRPr="00962AD5" w:rsidRDefault="00545033" w:rsidP="00545033">
            <w:pPr>
              <w:pStyle w:val="TableText"/>
            </w:pPr>
            <w:r w:rsidRPr="008A05AA">
              <w:t>29,470</w:t>
            </w:r>
          </w:p>
        </w:tc>
        <w:tc>
          <w:tcPr>
            <w:tcW w:w="1121" w:type="dxa"/>
          </w:tcPr>
          <w:p w14:paraId="45CD88FB" w14:textId="7961BC68" w:rsidR="00545033" w:rsidRDefault="00545033" w:rsidP="00545033">
            <w:pPr>
              <w:pStyle w:val="TableText"/>
            </w:pPr>
            <w:r w:rsidRPr="008A05AA">
              <w:t>93,083</w:t>
            </w:r>
          </w:p>
        </w:tc>
        <w:tc>
          <w:tcPr>
            <w:tcW w:w="2114" w:type="dxa"/>
            <w:tcBorders>
              <w:top w:val="single" w:sz="4" w:space="0" w:color="auto"/>
              <w:left w:val="nil"/>
              <w:bottom w:val="single" w:sz="4" w:space="0" w:color="auto"/>
            </w:tcBorders>
            <w:vAlign w:val="center"/>
          </w:tcPr>
          <w:p w14:paraId="3B00EE9D" w14:textId="276606EA" w:rsidR="00545033" w:rsidRDefault="00545033" w:rsidP="00545033">
            <w:pPr>
              <w:pStyle w:val="TableText"/>
            </w:pPr>
            <w:r>
              <w:rPr>
                <w:rFonts w:cs="Segoe UI Semilight"/>
                <w:color w:val="000000"/>
                <w:szCs w:val="18"/>
              </w:rPr>
              <w:t>24,081</w:t>
            </w:r>
          </w:p>
        </w:tc>
        <w:tc>
          <w:tcPr>
            <w:tcW w:w="905" w:type="dxa"/>
            <w:tcBorders>
              <w:right w:val="nil"/>
            </w:tcBorders>
          </w:tcPr>
          <w:p w14:paraId="6124316C" w14:textId="69C621E3" w:rsidR="00545033" w:rsidRDefault="00545033" w:rsidP="00545033">
            <w:pPr>
              <w:pStyle w:val="TableText"/>
            </w:pPr>
            <w:r w:rsidRPr="00F21DDE">
              <w:t>195,622</w:t>
            </w:r>
          </w:p>
        </w:tc>
      </w:tr>
      <w:tr w:rsidR="00545033" w:rsidRPr="00294129" w14:paraId="2BE00A22" w14:textId="77777777" w:rsidTr="00F469FF">
        <w:trPr>
          <w:trHeight w:val="20"/>
          <w:jc w:val="center"/>
        </w:trPr>
        <w:tc>
          <w:tcPr>
            <w:tcW w:w="1254" w:type="dxa"/>
            <w:tcBorders>
              <w:left w:val="nil"/>
            </w:tcBorders>
          </w:tcPr>
          <w:p w14:paraId="553532C6" w14:textId="77777777" w:rsidR="00545033" w:rsidRDefault="00545033" w:rsidP="00545033">
            <w:pPr>
              <w:pStyle w:val="TableColumn"/>
            </w:pPr>
            <w:r>
              <w:t>2018</w:t>
            </w:r>
          </w:p>
        </w:tc>
        <w:tc>
          <w:tcPr>
            <w:tcW w:w="1119" w:type="dxa"/>
            <w:tcBorders>
              <w:top w:val="single" w:sz="4" w:space="0" w:color="auto"/>
              <w:left w:val="nil"/>
              <w:bottom w:val="single" w:sz="4" w:space="0" w:color="auto"/>
              <w:right w:val="single" w:sz="4" w:space="0" w:color="auto"/>
            </w:tcBorders>
          </w:tcPr>
          <w:p w14:paraId="74E9BB4E" w14:textId="15237143" w:rsidR="00545033" w:rsidRPr="008C7345" w:rsidRDefault="00545033" w:rsidP="00545033">
            <w:pPr>
              <w:pStyle w:val="TableText"/>
            </w:pPr>
            <w:r>
              <w:t>10,443</w:t>
            </w:r>
          </w:p>
        </w:tc>
        <w:tc>
          <w:tcPr>
            <w:tcW w:w="1156" w:type="dxa"/>
            <w:tcBorders>
              <w:top w:val="single" w:sz="2" w:space="0" w:color="auto"/>
              <w:left w:val="single" w:sz="4" w:space="0" w:color="auto"/>
              <w:right w:val="single" w:sz="4" w:space="0" w:color="auto"/>
            </w:tcBorders>
          </w:tcPr>
          <w:p w14:paraId="00CA16D4" w14:textId="14E1BC32" w:rsidR="00545033" w:rsidRPr="00294129" w:rsidRDefault="0060339F" w:rsidP="00545033">
            <w:pPr>
              <w:pStyle w:val="TableText"/>
            </w:pPr>
            <w:r w:rsidRPr="00294129">
              <w:t>59,850</w:t>
            </w:r>
          </w:p>
        </w:tc>
        <w:tc>
          <w:tcPr>
            <w:tcW w:w="1222" w:type="dxa"/>
            <w:tcBorders>
              <w:top w:val="single" w:sz="4" w:space="0" w:color="auto"/>
              <w:left w:val="single" w:sz="4" w:space="0" w:color="auto"/>
              <w:bottom w:val="single" w:sz="4" w:space="0" w:color="auto"/>
              <w:right w:val="single" w:sz="4" w:space="0" w:color="auto"/>
            </w:tcBorders>
          </w:tcPr>
          <w:p w14:paraId="45C39652" w14:textId="2102BAEF" w:rsidR="00545033" w:rsidRPr="00294129" w:rsidRDefault="00545033" w:rsidP="00545033">
            <w:pPr>
              <w:pStyle w:val="TableText"/>
            </w:pPr>
            <w:r w:rsidRPr="00294129">
              <w:t>2,589</w:t>
            </w:r>
          </w:p>
        </w:tc>
        <w:tc>
          <w:tcPr>
            <w:tcW w:w="1189" w:type="dxa"/>
            <w:tcBorders>
              <w:left w:val="single" w:sz="4" w:space="0" w:color="auto"/>
            </w:tcBorders>
          </w:tcPr>
          <w:p w14:paraId="7B6AB2B5" w14:textId="3585DC97" w:rsidR="00545033" w:rsidRPr="00294129" w:rsidRDefault="00545033" w:rsidP="00545033">
            <w:pPr>
              <w:pStyle w:val="TableText"/>
            </w:pPr>
            <w:r w:rsidRPr="00294129">
              <w:t>29,285</w:t>
            </w:r>
          </w:p>
        </w:tc>
        <w:tc>
          <w:tcPr>
            <w:tcW w:w="1121" w:type="dxa"/>
          </w:tcPr>
          <w:p w14:paraId="4756D1AC" w14:textId="6B6C5B9A" w:rsidR="00545033" w:rsidRPr="00294129" w:rsidRDefault="00545033" w:rsidP="00545033">
            <w:pPr>
              <w:pStyle w:val="TableText"/>
            </w:pPr>
            <w:r w:rsidRPr="00294129">
              <w:t>36,212</w:t>
            </w:r>
          </w:p>
        </w:tc>
        <w:tc>
          <w:tcPr>
            <w:tcW w:w="2114" w:type="dxa"/>
            <w:tcBorders>
              <w:top w:val="single" w:sz="4" w:space="0" w:color="auto"/>
              <w:left w:val="nil"/>
              <w:bottom w:val="single" w:sz="4" w:space="0" w:color="auto"/>
            </w:tcBorders>
            <w:vAlign w:val="center"/>
          </w:tcPr>
          <w:p w14:paraId="7404B64F" w14:textId="59BA9BEC" w:rsidR="00545033" w:rsidRPr="00294129" w:rsidRDefault="00545033" w:rsidP="00545033">
            <w:pPr>
              <w:pStyle w:val="TableText"/>
            </w:pPr>
            <w:r w:rsidRPr="00294129">
              <w:rPr>
                <w:rFonts w:cs="Segoe UI Semilight"/>
                <w:color w:val="000000"/>
                <w:szCs w:val="18"/>
              </w:rPr>
              <w:t>27,021</w:t>
            </w:r>
          </w:p>
        </w:tc>
        <w:tc>
          <w:tcPr>
            <w:tcW w:w="905" w:type="dxa"/>
            <w:tcBorders>
              <w:right w:val="nil"/>
            </w:tcBorders>
          </w:tcPr>
          <w:p w14:paraId="29D6AE0E" w14:textId="32FD7CF7" w:rsidR="00545033" w:rsidRPr="00294129" w:rsidRDefault="00294129" w:rsidP="00545033">
            <w:pPr>
              <w:pStyle w:val="TableText"/>
            </w:pPr>
            <w:r w:rsidRPr="00294129">
              <w:t>165,400</w:t>
            </w:r>
          </w:p>
        </w:tc>
      </w:tr>
      <w:tr w:rsidR="00545033" w:rsidRPr="00294129" w14:paraId="3D490E6F" w14:textId="77777777" w:rsidTr="00F469FF">
        <w:trPr>
          <w:trHeight w:val="20"/>
          <w:jc w:val="center"/>
        </w:trPr>
        <w:tc>
          <w:tcPr>
            <w:tcW w:w="1254" w:type="dxa"/>
            <w:tcBorders>
              <w:left w:val="nil"/>
            </w:tcBorders>
          </w:tcPr>
          <w:p w14:paraId="3D8FAAEB" w14:textId="360C2407" w:rsidR="00545033" w:rsidRDefault="00545033" w:rsidP="00545033">
            <w:pPr>
              <w:pStyle w:val="TableColumn"/>
            </w:pPr>
            <w:r>
              <w:t>Total</w:t>
            </w:r>
          </w:p>
        </w:tc>
        <w:tc>
          <w:tcPr>
            <w:tcW w:w="1119" w:type="dxa"/>
            <w:tcBorders>
              <w:top w:val="single" w:sz="4" w:space="0" w:color="auto"/>
              <w:left w:val="nil"/>
              <w:bottom w:val="single" w:sz="4" w:space="0" w:color="auto"/>
              <w:right w:val="single" w:sz="4" w:space="0" w:color="auto"/>
            </w:tcBorders>
          </w:tcPr>
          <w:p w14:paraId="4B9CBBFB" w14:textId="678A1841" w:rsidR="00545033" w:rsidRPr="001C5FF6" w:rsidRDefault="00545033" w:rsidP="00545033">
            <w:pPr>
              <w:pStyle w:val="TableText"/>
              <w:rPr>
                <w:b/>
              </w:rPr>
            </w:pPr>
            <w:r w:rsidRPr="001C5FF6">
              <w:rPr>
                <w:b/>
              </w:rPr>
              <w:t>97,</w:t>
            </w:r>
            <w:r>
              <w:rPr>
                <w:b/>
              </w:rPr>
              <w:t>068</w:t>
            </w:r>
          </w:p>
        </w:tc>
        <w:tc>
          <w:tcPr>
            <w:tcW w:w="1156" w:type="dxa"/>
            <w:tcBorders>
              <w:left w:val="single" w:sz="4" w:space="0" w:color="auto"/>
              <w:right w:val="single" w:sz="4" w:space="0" w:color="auto"/>
            </w:tcBorders>
          </w:tcPr>
          <w:p w14:paraId="4F56CD91" w14:textId="41AFEF6A" w:rsidR="00545033" w:rsidRPr="00294129" w:rsidRDefault="006F62C3" w:rsidP="00545033">
            <w:pPr>
              <w:pStyle w:val="TableText"/>
              <w:rPr>
                <w:b/>
              </w:rPr>
            </w:pPr>
            <w:r>
              <w:rPr>
                <w:b/>
              </w:rPr>
              <w:t>562,808</w:t>
            </w:r>
          </w:p>
        </w:tc>
        <w:tc>
          <w:tcPr>
            <w:tcW w:w="1222" w:type="dxa"/>
            <w:tcBorders>
              <w:top w:val="single" w:sz="4" w:space="0" w:color="auto"/>
              <w:left w:val="single" w:sz="4" w:space="0" w:color="auto"/>
              <w:bottom w:val="single" w:sz="4" w:space="0" w:color="auto"/>
              <w:right w:val="single" w:sz="4" w:space="0" w:color="auto"/>
            </w:tcBorders>
          </w:tcPr>
          <w:p w14:paraId="56E47861" w14:textId="63DA78BD" w:rsidR="00545033" w:rsidRPr="00294129" w:rsidRDefault="00545033" w:rsidP="00545033">
            <w:pPr>
              <w:pStyle w:val="TableText"/>
              <w:rPr>
                <w:b/>
              </w:rPr>
            </w:pPr>
            <w:r w:rsidRPr="00294129">
              <w:rPr>
                <w:b/>
              </w:rPr>
              <w:t>89,228</w:t>
            </w:r>
          </w:p>
        </w:tc>
        <w:tc>
          <w:tcPr>
            <w:tcW w:w="1189" w:type="dxa"/>
            <w:tcBorders>
              <w:left w:val="single" w:sz="4" w:space="0" w:color="auto"/>
            </w:tcBorders>
          </w:tcPr>
          <w:p w14:paraId="15EB062B" w14:textId="7BC1C425" w:rsidR="00545033" w:rsidRPr="00294129" w:rsidRDefault="00545033" w:rsidP="00545033">
            <w:pPr>
              <w:pStyle w:val="TableText"/>
              <w:rPr>
                <w:b/>
              </w:rPr>
            </w:pPr>
            <w:r w:rsidRPr="00294129">
              <w:rPr>
                <w:b/>
              </w:rPr>
              <w:t>514,833</w:t>
            </w:r>
          </w:p>
        </w:tc>
        <w:tc>
          <w:tcPr>
            <w:tcW w:w="1121" w:type="dxa"/>
          </w:tcPr>
          <w:p w14:paraId="74586CCB" w14:textId="1A17A9A3" w:rsidR="00545033" w:rsidRPr="00294129" w:rsidRDefault="00545033" w:rsidP="00545033">
            <w:pPr>
              <w:pStyle w:val="TableText"/>
              <w:rPr>
                <w:b/>
              </w:rPr>
            </w:pPr>
            <w:r w:rsidRPr="00294129">
              <w:rPr>
                <w:b/>
              </w:rPr>
              <w:t>1,912,303</w:t>
            </w:r>
          </w:p>
        </w:tc>
        <w:tc>
          <w:tcPr>
            <w:tcW w:w="2114" w:type="dxa"/>
            <w:tcBorders>
              <w:top w:val="single" w:sz="4" w:space="0" w:color="auto"/>
              <w:left w:val="nil"/>
              <w:bottom w:val="single" w:sz="4" w:space="0" w:color="auto"/>
            </w:tcBorders>
            <w:vAlign w:val="center"/>
          </w:tcPr>
          <w:p w14:paraId="21862114" w14:textId="7B6C9E44" w:rsidR="00545033" w:rsidRPr="00294129" w:rsidRDefault="00545033" w:rsidP="00545033">
            <w:pPr>
              <w:pStyle w:val="TableText"/>
              <w:rPr>
                <w:b/>
              </w:rPr>
            </w:pPr>
            <w:r w:rsidRPr="00294129">
              <w:rPr>
                <w:rFonts w:cs="Segoe UI Semilight"/>
                <w:b/>
                <w:color w:val="000000"/>
                <w:szCs w:val="18"/>
              </w:rPr>
              <w:t>602,269</w:t>
            </w:r>
          </w:p>
        </w:tc>
        <w:tc>
          <w:tcPr>
            <w:tcW w:w="905" w:type="dxa"/>
            <w:tcBorders>
              <w:right w:val="nil"/>
            </w:tcBorders>
          </w:tcPr>
          <w:p w14:paraId="31AFB896" w14:textId="15808DA0" w:rsidR="00545033" w:rsidRPr="00294129" w:rsidRDefault="006F62C3" w:rsidP="00545033">
            <w:pPr>
              <w:pStyle w:val="TableText"/>
              <w:rPr>
                <w:b/>
              </w:rPr>
            </w:pPr>
            <w:r>
              <w:rPr>
                <w:b/>
              </w:rPr>
              <w:t>3,778,511</w:t>
            </w:r>
          </w:p>
        </w:tc>
      </w:tr>
    </w:tbl>
    <w:p w14:paraId="3866DFC6" w14:textId="2E945BEC" w:rsidR="00F469FF" w:rsidRPr="00BA2820" w:rsidRDefault="00F469FF" w:rsidP="00F469FF">
      <w:pPr>
        <w:pStyle w:val="TableSource"/>
        <w:ind w:left="180" w:hanging="180"/>
        <w:rPr>
          <w:highlight w:val="yellow"/>
        </w:rPr>
      </w:pPr>
      <w:r w:rsidRPr="003F4420">
        <w:rPr>
          <w:vertAlign w:val="superscript"/>
        </w:rPr>
        <w:t>1</w:t>
      </w:r>
      <w:r>
        <w:rPr>
          <w:vertAlign w:val="superscript"/>
        </w:rPr>
        <w:t>.</w:t>
      </w:r>
      <w:r>
        <w:rPr>
          <w:vertAlign w:val="superscript"/>
        </w:rPr>
        <w:tab/>
      </w:r>
      <w:r w:rsidRPr="001C5FF6">
        <w:t>Although no fuel reduction acreage was recorded, expenditures within the CFIP program did occur</w:t>
      </w:r>
      <w:r>
        <w:t>.</w:t>
      </w:r>
    </w:p>
    <w:bookmarkEnd w:id="8"/>
    <w:p w14:paraId="43929525" w14:textId="41A93642" w:rsidR="00537D58" w:rsidRDefault="000153DC" w:rsidP="003008ED">
      <w:pPr>
        <w:pStyle w:val="BodyText12ptbefore"/>
      </w:pPr>
      <w:r>
        <w:t>Upon certification</w:t>
      </w:r>
      <w:r w:rsidR="00AF04FF">
        <w:t xml:space="preserve">, this PEIR </w:t>
      </w:r>
      <w:r w:rsidR="003008ED">
        <w:t xml:space="preserve">will </w:t>
      </w:r>
      <w:r w:rsidR="00523D63">
        <w:t xml:space="preserve">provide </w:t>
      </w:r>
      <w:r w:rsidR="003008ED">
        <w:t xml:space="preserve">CEQA </w:t>
      </w:r>
      <w:r w:rsidR="00523D63">
        <w:t xml:space="preserve">compliance </w:t>
      </w:r>
      <w:r w:rsidR="003008ED">
        <w:t xml:space="preserve">for </w:t>
      </w:r>
      <w:r>
        <w:t xml:space="preserve">implementing </w:t>
      </w:r>
      <w:r w:rsidR="003008ED">
        <w:t>CAL FIRE</w:t>
      </w:r>
      <w:r w:rsidR="00CC081D">
        <w:t>’</w:t>
      </w:r>
      <w:r w:rsidR="003008ED">
        <w:t>s VMP</w:t>
      </w:r>
      <w:r w:rsidR="00523D63">
        <w:t>, along with the VMP EIR</w:t>
      </w:r>
      <w:r w:rsidR="00683301">
        <w:t>. Therefore,</w:t>
      </w:r>
      <w:r w:rsidR="003008ED">
        <w:t xml:space="preserve"> the</w:t>
      </w:r>
      <w:r>
        <w:t xml:space="preserve"> wildfire risk reduction components of the</w:t>
      </w:r>
      <w:r w:rsidR="003008ED">
        <w:t xml:space="preserve"> </w:t>
      </w:r>
      <w:r w:rsidR="00F627DB">
        <w:t>VMP w</w:t>
      </w:r>
      <w:r w:rsidR="00683301">
        <w:t>ould</w:t>
      </w:r>
      <w:r w:rsidR="00F627DB">
        <w:t xml:space="preserve"> be encompassed by the CalVTP </w:t>
      </w:r>
      <w:r w:rsidR="00683301">
        <w:t xml:space="preserve">going forward, </w:t>
      </w:r>
      <w:r w:rsidR="00F627DB">
        <w:t xml:space="preserve">and </w:t>
      </w:r>
      <w:r w:rsidR="003008ED">
        <w:t>acres treated under the VMP</w:t>
      </w:r>
      <w:r>
        <w:t xml:space="preserve"> for wildfire risk reduction</w:t>
      </w:r>
      <w:r w:rsidR="00F627DB">
        <w:t xml:space="preserve"> </w:t>
      </w:r>
      <w:r w:rsidR="003008ED">
        <w:t xml:space="preserve">are </w:t>
      </w:r>
      <w:r>
        <w:t xml:space="preserve">encompassed </w:t>
      </w:r>
      <w:r w:rsidR="003008ED">
        <w:t xml:space="preserve">in the </w:t>
      </w:r>
      <w:r w:rsidR="00AF04FF">
        <w:t xml:space="preserve">250,000 acres </w:t>
      </w:r>
      <w:r w:rsidR="00683301">
        <w:t xml:space="preserve">projected to be </w:t>
      </w:r>
      <w:r w:rsidR="003008ED">
        <w:t xml:space="preserve">treated </w:t>
      </w:r>
      <w:r w:rsidR="00AF04FF">
        <w:t>annually under</w:t>
      </w:r>
      <w:r w:rsidR="003008ED">
        <w:t xml:space="preserve"> the CalVTP.</w:t>
      </w:r>
      <w:r w:rsidR="0064090C">
        <w:t xml:space="preserve"> It is estimated that</w:t>
      </w:r>
      <w:r w:rsidR="0064090C" w:rsidRPr="00960500">
        <w:t xml:space="preserve"> </w:t>
      </w:r>
      <w:r w:rsidR="0064090C">
        <w:t xml:space="preserve">treatment acreages </w:t>
      </w:r>
      <w:r w:rsidR="00C83C56">
        <w:t>in 20</w:t>
      </w:r>
      <w:r w:rsidR="005549EF">
        <w:t>20</w:t>
      </w:r>
      <w:r w:rsidR="0064090C">
        <w:t xml:space="preserve"> would be consistent with </w:t>
      </w:r>
      <w:r w:rsidR="0064090C" w:rsidRPr="00960500">
        <w:t xml:space="preserve">current </w:t>
      </w:r>
      <w:r w:rsidR="0064090C">
        <w:lastRenderedPageBreak/>
        <w:t>CAL FIRE</w:t>
      </w:r>
      <w:r w:rsidR="0064090C" w:rsidRPr="00960500">
        <w:t xml:space="preserve"> acreage goals of 25,000 </w:t>
      </w:r>
      <w:r w:rsidR="0064090C">
        <w:t xml:space="preserve">acres of prescribed </w:t>
      </w:r>
      <w:r w:rsidR="0064090C" w:rsidRPr="00960500">
        <w:t xml:space="preserve">burning and 20,000 </w:t>
      </w:r>
      <w:r w:rsidR="0064090C">
        <w:t xml:space="preserve">acres of </w:t>
      </w:r>
      <w:r w:rsidR="0064090C" w:rsidRPr="00960500">
        <w:t xml:space="preserve">other </w:t>
      </w:r>
      <w:r w:rsidR="0064090C">
        <w:t xml:space="preserve">treatment activities </w:t>
      </w:r>
      <w:r w:rsidR="0064090C" w:rsidRPr="00960500">
        <w:t>statewide</w:t>
      </w:r>
      <w:r w:rsidR="0064090C">
        <w:t>, for a</w:t>
      </w:r>
      <w:r w:rsidR="0064090C" w:rsidRPr="00960500">
        <w:t xml:space="preserve"> total of 45,000</w:t>
      </w:r>
      <w:r w:rsidR="0064090C">
        <w:t xml:space="preserve"> acres.</w:t>
      </w:r>
      <w:r w:rsidR="0064090C" w:rsidRPr="00960500">
        <w:t xml:space="preserve"> </w:t>
      </w:r>
      <w:r w:rsidR="0064090C">
        <w:t xml:space="preserve">It is assumed that the acres treated annually </w:t>
      </w:r>
      <w:r w:rsidR="00C83C56">
        <w:t xml:space="preserve">under the CalVTP </w:t>
      </w:r>
      <w:r w:rsidR="0064090C">
        <w:t>would</w:t>
      </w:r>
      <w:r w:rsidR="0064090C" w:rsidRPr="00960500">
        <w:t xml:space="preserve"> </w:t>
      </w:r>
      <w:r w:rsidR="0064090C">
        <w:t>increase</w:t>
      </w:r>
      <w:r w:rsidR="0064090C" w:rsidRPr="00960500">
        <w:t xml:space="preserve"> each year until reach</w:t>
      </w:r>
      <w:r w:rsidR="0064090C">
        <w:t>ing</w:t>
      </w:r>
      <w:r w:rsidR="0064090C" w:rsidRPr="00960500">
        <w:t xml:space="preserve"> 250,000 acres</w:t>
      </w:r>
      <w:r w:rsidR="0064090C">
        <w:t xml:space="preserve"> per </w:t>
      </w:r>
      <w:r w:rsidR="0064090C" w:rsidRPr="00960500">
        <w:t>year in 2024</w:t>
      </w:r>
      <w:r w:rsidR="00811A8C">
        <w:t>.</w:t>
      </w:r>
    </w:p>
    <w:p w14:paraId="03AF965E" w14:textId="77777777" w:rsidR="008B464B" w:rsidRPr="00275B06" w:rsidRDefault="008B464B" w:rsidP="008B464B">
      <w:pPr>
        <w:pStyle w:val="Heading3"/>
      </w:pPr>
      <w:r>
        <w:t xml:space="preserve">CAL FIRE </w:t>
      </w:r>
      <w:r w:rsidRPr="00275B06">
        <w:t>California Forest Improvement Program</w:t>
      </w:r>
    </w:p>
    <w:p w14:paraId="02284528" w14:textId="2874FA66" w:rsidR="008B464B" w:rsidRDefault="008B464B" w:rsidP="000C3D4E">
      <w:pPr>
        <w:pStyle w:val="BodyText"/>
      </w:pPr>
      <w:r w:rsidRPr="00275B06">
        <w:t xml:space="preserve">CAL FIRE also funds vegetation management projects under </w:t>
      </w:r>
      <w:r>
        <w:t>its</w:t>
      </w:r>
      <w:r w:rsidRPr="00275B06">
        <w:t xml:space="preserve"> CFIP. These projects</w:t>
      </w:r>
      <w:r w:rsidRPr="00BC1148">
        <w:t xml:space="preserve"> can involve a range of activities including site preparation, tree planting, commercial thinning, fuel reduction</w:t>
      </w:r>
      <w:r>
        <w:t>,</w:t>
      </w:r>
      <w:r w:rsidRPr="00BC1148">
        <w:t xml:space="preserve"> and land conservation activities for improving fish and wildlife habitat. CFIP projects tend to be small in size, averaging approximately 40 acres per project</w:t>
      </w:r>
      <w:r w:rsidRPr="009E59D2">
        <w:t xml:space="preserve">. Vegetation management </w:t>
      </w:r>
      <w:r>
        <w:t>activities</w:t>
      </w:r>
      <w:r w:rsidRPr="009E59D2">
        <w:t xml:space="preserve"> funded by CAL FIRE under the CFIP occur on an ongoing basis. Over a 14-year period (2004 through 2018) CAL</w:t>
      </w:r>
      <w:r w:rsidRPr="00136E7F">
        <w:t xml:space="preserve"> FIRE has implemented vegetation management projects on </w:t>
      </w:r>
      <w:r w:rsidRPr="00962B41">
        <w:t xml:space="preserve">approximately </w:t>
      </w:r>
      <w:r>
        <w:t>89,000</w:t>
      </w:r>
      <w:r w:rsidR="00345BBE">
        <w:t xml:space="preserve"> </w:t>
      </w:r>
      <w:r w:rsidRPr="009E59D2">
        <w:t>acres of land</w:t>
      </w:r>
      <w:r w:rsidRPr="00962B41">
        <w:t xml:space="preserve"> through the CFIP</w:t>
      </w:r>
      <w:r>
        <w:t xml:space="preserve"> (Table 4-1)</w:t>
      </w:r>
      <w:r w:rsidRPr="00962B41">
        <w:t>.</w:t>
      </w:r>
    </w:p>
    <w:p w14:paraId="5DF1BB10" w14:textId="77777777" w:rsidR="008B464B" w:rsidRDefault="008B464B" w:rsidP="000C3D4E">
      <w:pPr>
        <w:pStyle w:val="BodyText"/>
      </w:pPr>
      <w:r w:rsidRPr="00307481">
        <w:t xml:space="preserve">Proposition 40, the California Clean Water, Clean Air, Safe Neighborhood Parks, and Coastal Protection Act of 2002, provided funding for CAL FIRE to enter into cost-share agreements with private landowners to perform wildfire </w:t>
      </w:r>
      <w:r>
        <w:t>risk</w:t>
      </w:r>
      <w:r w:rsidRPr="00307481">
        <w:t xml:space="preserve"> reduction projects designed to reduce fuel that pose</w:t>
      </w:r>
      <w:r>
        <w:t>s</w:t>
      </w:r>
      <w:r w:rsidRPr="00307481">
        <w:t xml:space="preserve"> a threat to watershed resources and water quality. Projects were conducted in </w:t>
      </w:r>
      <w:r>
        <w:t>15</w:t>
      </w:r>
      <w:r w:rsidRPr="00307481">
        <w:t xml:space="preserve"> Sierra Nevada counties: Butte, Plumas, Sierra, Yuba, Nevada, Placer, El Dorado, Amador, Alpine, Calaveras, Tuolumne, Madera, Mariposa, Fresno, and Tulare. The Proposition 40 fuels reduction program ended on March 31, 2014</w:t>
      </w:r>
      <w:r>
        <w:t>,</w:t>
      </w:r>
      <w:r w:rsidRPr="00307481">
        <w:t xml:space="preserve"> due to lack of continued funding. </w:t>
      </w:r>
      <w:r>
        <w:t>Acreages of treatment</w:t>
      </w:r>
      <w:r w:rsidRPr="00307481">
        <w:t xml:space="preserve"> from these projects are included with the CFIP </w:t>
      </w:r>
      <w:r>
        <w:t>treatment acreages</w:t>
      </w:r>
      <w:r w:rsidRPr="00307481">
        <w:t xml:space="preserve"> in</w:t>
      </w:r>
      <w:r>
        <w:t xml:space="preserve"> Table 4-1</w:t>
      </w:r>
      <w:r w:rsidRPr="00307481">
        <w:t xml:space="preserve">. </w:t>
      </w:r>
    </w:p>
    <w:p w14:paraId="1DA2431D" w14:textId="77777777" w:rsidR="008B464B" w:rsidRDefault="008B464B" w:rsidP="000C3D4E">
      <w:pPr>
        <w:pStyle w:val="BodyText"/>
      </w:pPr>
      <w:r>
        <w:t xml:space="preserve">The CFIP would continue into the future independent of the CalVTP, and it is anticipated that approximately 6,500 acres would continue to be treated under this program each year based on the average annual treatment acreage that has occurred over the past 14 years. </w:t>
      </w:r>
    </w:p>
    <w:p w14:paraId="13692C03" w14:textId="78741681" w:rsidR="00425255" w:rsidRPr="00DB0E06" w:rsidRDefault="00425255" w:rsidP="00425255">
      <w:pPr>
        <w:pStyle w:val="Heading3"/>
        <w:rPr>
          <w:rFonts w:eastAsia="Times New Roman"/>
        </w:rPr>
      </w:pPr>
      <w:r w:rsidRPr="00677355">
        <w:t xml:space="preserve">Vegetation and </w:t>
      </w:r>
      <w:r>
        <w:t>F</w:t>
      </w:r>
      <w:r w:rsidRPr="00677355">
        <w:t xml:space="preserve">uels </w:t>
      </w:r>
      <w:r>
        <w:t>T</w:t>
      </w:r>
      <w:r w:rsidRPr="00677355">
        <w:t xml:space="preserve">reatment </w:t>
      </w:r>
      <w:r>
        <w:t>P</w:t>
      </w:r>
      <w:r w:rsidRPr="00677355">
        <w:t xml:space="preserve">rograms </w:t>
      </w:r>
      <w:r>
        <w:t>Implemented</w:t>
      </w:r>
      <w:r w:rsidRPr="00677355">
        <w:t xml:space="preserve"> </w:t>
      </w:r>
      <w:r w:rsidR="008B464B">
        <w:t>by Agencies Other than CAL FIRE</w:t>
      </w:r>
    </w:p>
    <w:p w14:paraId="44CA1F32" w14:textId="58FAAFD8" w:rsidR="00425255" w:rsidRPr="00DB0E06" w:rsidRDefault="00425255" w:rsidP="00145934">
      <w:pPr>
        <w:pStyle w:val="BodyText"/>
      </w:pPr>
      <w:r w:rsidRPr="00DB0E06">
        <w:t xml:space="preserve">Federal agencies conduct vegetation management projects on federal lands that are similar to the </w:t>
      </w:r>
      <w:r>
        <w:t>treatment types and activities proposed</w:t>
      </w:r>
      <w:r w:rsidRPr="00DB0E06">
        <w:t xml:space="preserve"> </w:t>
      </w:r>
      <w:r>
        <w:t>under</w:t>
      </w:r>
      <w:r w:rsidRPr="00DB0E06">
        <w:t xml:space="preserve"> the CalVTP. As </w:t>
      </w:r>
      <w:r>
        <w:t>USDA Forest Service</w:t>
      </w:r>
      <w:r w:rsidRPr="00DB0E06">
        <w:t xml:space="preserve"> and other federal agencies implement the National Fire Plan</w:t>
      </w:r>
      <w:r>
        <w:t xml:space="preserve"> and</w:t>
      </w:r>
      <w:r w:rsidRPr="00DB0E06">
        <w:t xml:space="preserve"> Healthy Forests Restoration Act</w:t>
      </w:r>
      <w:r>
        <w:t xml:space="preserve">, </w:t>
      </w:r>
      <w:r w:rsidRPr="00C0719F">
        <w:t>a substantial</w:t>
      </w:r>
      <w:r w:rsidRPr="00DB0E06">
        <w:t xml:space="preserve"> increase in fuel reduction projects and related activities have occurred in recent years. The implementation of these programs has culminated in </w:t>
      </w:r>
      <w:r w:rsidRPr="00301D3B">
        <w:rPr>
          <w:i/>
        </w:rPr>
        <w:t>The National Cohesive Wildland Fire Management Strategy</w:t>
      </w:r>
      <w:r>
        <w:rPr>
          <w:i/>
        </w:rPr>
        <w:t xml:space="preserve"> </w:t>
      </w:r>
      <w:r>
        <w:t>(</w:t>
      </w:r>
      <w:r w:rsidRPr="0047573E">
        <w:t>USDA and DOI 2014). This</w:t>
      </w:r>
      <w:r w:rsidRPr="00DB0E06">
        <w:t xml:space="preserve"> strategy provides a framework for federal land management agencies to work collaboratively among all stakeholders and across all landscapes, using </w:t>
      </w:r>
      <w:r>
        <w:t xml:space="preserve">the </w:t>
      </w:r>
      <w:r w:rsidRPr="00DB0E06">
        <w:t xml:space="preserve">best </w:t>
      </w:r>
      <w:r>
        <w:t xml:space="preserve">available </w:t>
      </w:r>
      <w:r w:rsidRPr="00DB0E06">
        <w:t xml:space="preserve">science to make meaningful progress towards three goals: resilient landscapes, fire adapted communities, and safe and effective wildfire response. Federal agencies report </w:t>
      </w:r>
      <w:r>
        <w:t>vegetation</w:t>
      </w:r>
      <w:r w:rsidRPr="00DB0E06">
        <w:t xml:space="preserve"> treatment projects through the National </w:t>
      </w:r>
      <w:r w:rsidRPr="00FC64DE">
        <w:t xml:space="preserve">Fire Plan Operations and Reporting System. </w:t>
      </w:r>
      <w:r>
        <w:t>The annual acreage treated by federal agencies</w:t>
      </w:r>
      <w:r w:rsidRPr="00FC64DE">
        <w:t xml:space="preserve"> </w:t>
      </w:r>
      <w:r>
        <w:t xml:space="preserve">outside the SRA is </w:t>
      </w:r>
      <w:r w:rsidRPr="00FC64DE">
        <w:t>summarized</w:t>
      </w:r>
      <w:r>
        <w:t xml:space="preserve"> in</w:t>
      </w:r>
      <w:r w:rsidRPr="00FC64DE">
        <w:t xml:space="preserve"> </w:t>
      </w:r>
      <w:r w:rsidR="001734AA">
        <w:t>Table 4-1</w:t>
      </w:r>
      <w:r w:rsidRPr="00AE610C">
        <w:t xml:space="preserve">. </w:t>
      </w:r>
    </w:p>
    <w:p w14:paraId="1D5D8851" w14:textId="31347B21" w:rsidR="00D13051" w:rsidRDefault="00425255" w:rsidP="00145934">
      <w:pPr>
        <w:pStyle w:val="BodyText"/>
      </w:pPr>
      <w:r w:rsidRPr="00DB0E06">
        <w:t xml:space="preserve">Through the implementation of the National Fire Plan and the Healthy Forests Restoration Act of 2003, federal agencies have been instructed to </w:t>
      </w:r>
      <w:r>
        <w:t>increase</w:t>
      </w:r>
      <w:r w:rsidRPr="00DB0E06">
        <w:t xml:space="preserve"> actions to reduce the risks of severe and wildfire on public lands. Their goals and objectives are largely consistent with the CalVTP</w:t>
      </w:r>
      <w:r>
        <w:t>;</w:t>
      </w:r>
      <w:r w:rsidRPr="00DB0E06">
        <w:t xml:space="preserve"> to utilize vegetation management as a tool to protect life, property, and natural resources from wildfire.</w:t>
      </w:r>
    </w:p>
    <w:p w14:paraId="394F18E1" w14:textId="756C44EC" w:rsidR="00D13051" w:rsidRDefault="00D13051" w:rsidP="00145934">
      <w:pPr>
        <w:pStyle w:val="BodyText"/>
      </w:pPr>
      <w:r>
        <w:t xml:space="preserve">Vegetation treatments by various non-CAL FIRE agencies (e.g., other state, regional, and local agencies) </w:t>
      </w:r>
      <w:r w:rsidR="000C02F2">
        <w:t>are</w:t>
      </w:r>
      <w:r w:rsidRPr="003338E5">
        <w:t xml:space="preserve"> </w:t>
      </w:r>
      <w:r>
        <w:t xml:space="preserve">also occurring </w:t>
      </w:r>
      <w:r w:rsidR="00BB56E1">
        <w:t>within</w:t>
      </w:r>
      <w:r>
        <w:t xml:space="preserve"> the SRA and treatable landscape. Vegetation treatments similar to those that would be implemented under the proposed CalVTP are currently being implemented by agencies</w:t>
      </w:r>
      <w:r w:rsidR="009A53FA">
        <w:t xml:space="preserve"> that own or manage lands within the SRA</w:t>
      </w:r>
      <w:r>
        <w:t xml:space="preserve"> such as California Department of Fish and Wildlife (CDFW), California State Parks (CSP), University of California, California State University,</w:t>
      </w:r>
      <w:r w:rsidR="009A53FA">
        <w:t xml:space="preserve"> counties, water and irrigation districts, conservation districts, park and open space districts, and flood control districts.</w:t>
      </w:r>
    </w:p>
    <w:p w14:paraId="356BA8DC" w14:textId="2FEF56BC" w:rsidR="00D13051" w:rsidRDefault="00425255" w:rsidP="00145934">
      <w:pPr>
        <w:pStyle w:val="BodyText"/>
      </w:pPr>
      <w:r>
        <w:t xml:space="preserve">In addition to vegetation treatments conducted by federal agencies, vegetation treatments are also being conducted by </w:t>
      </w:r>
      <w:r w:rsidRPr="00AE3379">
        <w:t>local agencies, non-profits, and other organizations in the LRA</w:t>
      </w:r>
      <w:r>
        <w:t xml:space="preserve">. Because these treatments are implemented by </w:t>
      </w:r>
      <w:r>
        <w:lastRenderedPageBreak/>
        <w:t xml:space="preserve">many different agencies and organizations, total treatment acreages are not available for the LRA; however, acreages of treatments occurring in the LRA are at least partially reflected in the acreages provided for prescribed burning within the state and defensible space acreages that occur in the LRA. </w:t>
      </w:r>
    </w:p>
    <w:p w14:paraId="0BDF4125" w14:textId="1966B962" w:rsidR="000C02F2" w:rsidRDefault="007830F5" w:rsidP="00145934">
      <w:pPr>
        <w:pStyle w:val="BodyText"/>
      </w:pPr>
      <w:r w:rsidRPr="00500029">
        <w:t xml:space="preserve">Updated yearly, </w:t>
      </w:r>
      <w:r w:rsidRPr="00A1055C">
        <w:t xml:space="preserve">Fire Management Plans/Strategic Fire Plans </w:t>
      </w:r>
      <w:r>
        <w:t>(</w:t>
      </w:r>
      <w:r w:rsidRPr="00500029">
        <w:t>Unit Fire Plans</w:t>
      </w:r>
      <w:r>
        <w:t>)</w:t>
      </w:r>
      <w:r w:rsidRPr="00500029">
        <w:t xml:space="preserve"> identify wildfire protection areas, initial attack success, assets and infrastructure at risk, pre-fire management strategies, and accountability within their Unit</w:t>
      </w:r>
      <w:r w:rsidR="00CC081D">
        <w:t>’</w:t>
      </w:r>
      <w:r w:rsidRPr="00500029">
        <w:t>s geographical boundaries. The Unit Fire Plan identifies strategic areas for pre-fire planning and fuel treatment as defined by the people who live and work locally. </w:t>
      </w:r>
      <w:r w:rsidR="000C02F2" w:rsidRPr="00565D8A">
        <w:t xml:space="preserve">Local Fire Safe Councils and other nonprofits may </w:t>
      </w:r>
      <w:r>
        <w:t xml:space="preserve">also </w:t>
      </w:r>
      <w:r w:rsidR="000C02F2" w:rsidRPr="00565D8A">
        <w:t>decide to develop C</w:t>
      </w:r>
      <w:r w:rsidR="000C02F2">
        <w:t xml:space="preserve">ommunity </w:t>
      </w:r>
      <w:r w:rsidR="000C02F2" w:rsidRPr="00565D8A">
        <w:t>W</w:t>
      </w:r>
      <w:r w:rsidR="000C02F2">
        <w:t xml:space="preserve">ildfire </w:t>
      </w:r>
      <w:r w:rsidR="000C02F2" w:rsidRPr="00565D8A">
        <w:t>P</w:t>
      </w:r>
      <w:r w:rsidR="000C02F2">
        <w:t xml:space="preserve">rotection </w:t>
      </w:r>
      <w:r w:rsidR="000C02F2" w:rsidRPr="00565D8A">
        <w:t>P</w:t>
      </w:r>
      <w:r w:rsidR="000C02F2">
        <w:t>lan</w:t>
      </w:r>
      <w:r w:rsidR="000C02F2" w:rsidRPr="00565D8A">
        <w:t>s</w:t>
      </w:r>
      <w:r w:rsidR="000C02F2">
        <w:t xml:space="preserve"> (CWPPs)</w:t>
      </w:r>
      <w:r w:rsidR="000C02F2" w:rsidRPr="00565D8A">
        <w:t>. A CWPP helps a community use collaborative, coordinated community planning to refine its priorities for the protection of life, property, and critical infrastructure in the WUI and discuss land, watershed, and vegetation management options. It is required to have three components: 1) collaboration, 2) prioritized fuel reduction, and 3) treatment of structural ignitability. Many Unit Plans function as CWPPs or can assist as a baseline plan to establish the assets at risk, community vulnerabilities, and protection priorities. Fire Safe Councils are important partners in implementing vegetation treatments because they help identify areas of high value and high risk in communities and can assist in finding funding and in-kind support for vegetation management.</w:t>
      </w:r>
    </w:p>
    <w:p w14:paraId="4E3A174F" w14:textId="360EE2D0" w:rsidR="00425255" w:rsidRPr="003A4272" w:rsidRDefault="00425255" w:rsidP="00145934">
      <w:pPr>
        <w:pStyle w:val="BodyText"/>
      </w:pPr>
      <w:r w:rsidRPr="00AE3379">
        <w:t xml:space="preserve">In the future, vegetation treatments in the </w:t>
      </w:r>
      <w:r>
        <w:t>FRA</w:t>
      </w:r>
      <w:r w:rsidR="009A53FA">
        <w:t xml:space="preserve">, SRA, </w:t>
      </w:r>
      <w:r>
        <w:t>and LRA</w:t>
      </w:r>
      <w:r w:rsidRPr="00AE3379">
        <w:t xml:space="preserve"> would continue independent of the CalVTP</w:t>
      </w:r>
      <w:r>
        <w:t>,</w:t>
      </w:r>
      <w:r w:rsidRPr="00AE3379">
        <w:t xml:space="preserve"> and the average annual acreage treated </w:t>
      </w:r>
      <w:r>
        <w:t xml:space="preserve">in the </w:t>
      </w:r>
      <w:r w:rsidRPr="00AE3379">
        <w:t>FRA</w:t>
      </w:r>
      <w:r w:rsidR="009A53FA">
        <w:t>, SRA,</w:t>
      </w:r>
      <w:r w:rsidRPr="00AE3379">
        <w:t xml:space="preserve"> and LRA is expected to increase in response to </w:t>
      </w:r>
      <w:r w:rsidRPr="0030369C">
        <w:t>E</w:t>
      </w:r>
      <w:r>
        <w:t xml:space="preserve">xecutive </w:t>
      </w:r>
      <w:r w:rsidRPr="0030369C">
        <w:t>O</w:t>
      </w:r>
      <w:r>
        <w:t>rder</w:t>
      </w:r>
      <w:r w:rsidRPr="0030369C">
        <w:t xml:space="preserve"> B-52-18</w:t>
      </w:r>
      <w:r>
        <w:t xml:space="preserve">, </w:t>
      </w:r>
      <w:r w:rsidRPr="0030369C">
        <w:t>which requires the California Natural Resources Agency</w:t>
      </w:r>
      <w:r w:rsidRPr="00D45305">
        <w:t xml:space="preserve"> in coordination with the Board, CAL FIRE, and </w:t>
      </w:r>
      <w:r>
        <w:t>federal, state, and local</w:t>
      </w:r>
      <w:r w:rsidRPr="00D45305">
        <w:t xml:space="preserve"> agencies to increase the pace and scale of fire fuel treatments </w:t>
      </w:r>
      <w:r>
        <w:t>within the state</w:t>
      </w:r>
      <w:r w:rsidRPr="00D45305">
        <w:t xml:space="preserve"> to 500,000 acres per year to reduce wildfire risk</w:t>
      </w:r>
      <w:r>
        <w:t>. Of this 500,000-acre treatment target, approximately 250,000 acres per year would be treated under the CalVTP; it is anticipated the remaining 250,000 acres would be treated in the FRA</w:t>
      </w:r>
      <w:r w:rsidR="009A53FA">
        <w:t>, SRA,</w:t>
      </w:r>
      <w:r>
        <w:t xml:space="preserve"> and LRA. </w:t>
      </w:r>
      <w:r w:rsidR="009A53FA">
        <w:t>In addition, approval of the proposed CalVTP would facilitate a substantial increase in the pace and scale of treatments in the SRA by non-CAL FIRE agencies.</w:t>
      </w:r>
    </w:p>
    <w:p w14:paraId="201117DC" w14:textId="524B1DC5" w:rsidR="00831530" w:rsidRDefault="00831530" w:rsidP="00EC65E8">
      <w:pPr>
        <w:pStyle w:val="Heading3"/>
      </w:pPr>
      <w:r>
        <w:t>Timber Harvest</w:t>
      </w:r>
      <w:r w:rsidR="006442A2">
        <w:t>ing</w:t>
      </w:r>
    </w:p>
    <w:p w14:paraId="381C15FA" w14:textId="419CEBA0" w:rsidR="00831530" w:rsidRPr="00307481" w:rsidRDefault="00831530" w:rsidP="00145934">
      <w:pPr>
        <w:pStyle w:val="BodyText"/>
        <w:rPr>
          <w:rFonts w:eastAsia="Times New Roman"/>
        </w:rPr>
      </w:pPr>
      <w:r w:rsidRPr="005A1915">
        <w:t xml:space="preserve">Both commercial timber harvesting and fuel reduction projects result in the removal of vegetation cover and some degree of site disturbance. Commercial timber harvesting is </w:t>
      </w:r>
      <w:r w:rsidR="00523D63">
        <w:t xml:space="preserve">typically </w:t>
      </w:r>
      <w:r w:rsidRPr="005A1915">
        <w:t>a more intensive form of vegetation management</w:t>
      </w:r>
      <w:r w:rsidR="00523D63">
        <w:t xml:space="preserve"> than fire fuel treatments</w:t>
      </w:r>
      <w:r w:rsidRPr="005A1915">
        <w:t xml:space="preserve">. Even-aged management systems, such as clearcutting, can result in nearly complete removal </w:t>
      </w:r>
      <w:r w:rsidR="00C83C56">
        <w:t xml:space="preserve">of </w:t>
      </w:r>
      <w:r w:rsidR="00C83C56" w:rsidRPr="005A1915">
        <w:t xml:space="preserve">vegetation </w:t>
      </w:r>
      <w:r w:rsidRPr="005A1915">
        <w:t>from a site. Timber harvesting that involves thinning or selective harvesting results in partial canopy removal, generally with less site disturbance, less erosion potential, and a lower potential for other immediate water quality effe</w:t>
      </w:r>
      <w:r w:rsidRPr="00501CB5">
        <w:t xml:space="preserve">cts </w:t>
      </w:r>
      <w:r w:rsidRPr="00C135CD">
        <w:t>(</w:t>
      </w:r>
      <w:proofErr w:type="spellStart"/>
      <w:r w:rsidRPr="00C135CD">
        <w:t>Stednick</w:t>
      </w:r>
      <w:proofErr w:type="spellEnd"/>
      <w:r w:rsidRPr="00C135CD">
        <w:t xml:space="preserve"> 2010).</w:t>
      </w:r>
      <w:r w:rsidRPr="005F283F">
        <w:t xml:space="preserve"> </w:t>
      </w:r>
    </w:p>
    <w:p w14:paraId="3910166F" w14:textId="319BD9EC" w:rsidR="00307481" w:rsidRPr="00BB77B2" w:rsidRDefault="00D23C7C" w:rsidP="00145934">
      <w:pPr>
        <w:pStyle w:val="BodyText"/>
      </w:pPr>
      <w:bookmarkStart w:id="9" w:name="_Hlk536522674"/>
      <w:r>
        <w:t>M</w:t>
      </w:r>
      <w:r w:rsidR="00831530" w:rsidRPr="00BB77B2">
        <w:t xml:space="preserve">ore than </w:t>
      </w:r>
      <w:r w:rsidR="00647818">
        <w:t>500,000</w:t>
      </w:r>
      <w:r w:rsidR="00831530" w:rsidRPr="00BB77B2">
        <w:t xml:space="preserve"> acres of </w:t>
      </w:r>
      <w:r>
        <w:t xml:space="preserve">timber harvesting was conducted by </w:t>
      </w:r>
      <w:r w:rsidR="00831530" w:rsidRPr="00BB77B2">
        <w:t xml:space="preserve">federal </w:t>
      </w:r>
      <w:r>
        <w:t>agencies</w:t>
      </w:r>
      <w:r w:rsidRPr="00BB77B2">
        <w:t xml:space="preserve"> </w:t>
      </w:r>
      <w:r w:rsidR="00831530" w:rsidRPr="00BB77B2">
        <w:t xml:space="preserve">and more than </w:t>
      </w:r>
      <w:r w:rsidR="00647818">
        <w:t>1.9</w:t>
      </w:r>
      <w:r w:rsidR="00C83C56">
        <w:t xml:space="preserve"> </w:t>
      </w:r>
      <w:r w:rsidR="00831530" w:rsidRPr="00C1574D">
        <w:t>million</w:t>
      </w:r>
      <w:r w:rsidR="00831530" w:rsidRPr="00BB77B2">
        <w:t xml:space="preserve"> acres of </w:t>
      </w:r>
      <w:r>
        <w:t>timber harvesting was conducted by CAL FIRE</w:t>
      </w:r>
      <w:r w:rsidR="00831530" w:rsidRPr="00BB77B2">
        <w:t xml:space="preserve"> between 2004 and 2018</w:t>
      </w:r>
      <w:r w:rsidR="00B83BAE">
        <w:t xml:space="preserve"> (Table 4-1)</w:t>
      </w:r>
      <w:r w:rsidR="00831530" w:rsidRPr="00BB77B2">
        <w:t xml:space="preserve">. </w:t>
      </w:r>
      <w:r w:rsidR="00831530" w:rsidRPr="00B54291">
        <w:t>In addition to the geographic</w:t>
      </w:r>
      <w:r w:rsidR="00831530" w:rsidRPr="00BB77B2">
        <w:t xml:space="preserve"> distribution, the amount of timber harvesting also varies from year to year, but the average annual rate of timber harvesting can be estimated at approximately </w:t>
      </w:r>
      <w:r w:rsidR="00B54291" w:rsidRPr="00B54291">
        <w:t>173</w:t>
      </w:r>
      <w:r w:rsidR="00B54291">
        <w:t>,000</w:t>
      </w:r>
      <w:r w:rsidR="00831530" w:rsidRPr="00BB77B2">
        <w:t xml:space="preserve"> acres per year.</w:t>
      </w:r>
      <w:bookmarkEnd w:id="9"/>
    </w:p>
    <w:p w14:paraId="657978FE" w14:textId="44D9C102" w:rsidR="00831530" w:rsidRDefault="00831530" w:rsidP="00145934">
      <w:pPr>
        <w:pStyle w:val="BodyText"/>
      </w:pPr>
      <w:r w:rsidRPr="00202FFD">
        <w:t>Timber harvesting on non-federal lands in California are subject to various permitting mechanisms (Timber Harvest Plans, Nonindustrial Timber Management Plans, Emergencies and Exemptions) under the Forest Practice Rules with CAL FIRE as the lead agency. Many permits allow multiple years to complete the harvesting operations, and, in rare cases, expire with no operations occurring. All projects that have been permitted, but have not yet expired or otherwise been completed, are considered to be current projects.</w:t>
      </w:r>
    </w:p>
    <w:p w14:paraId="6E1F7E35" w14:textId="55A0C044" w:rsidR="00665558" w:rsidRDefault="00665558" w:rsidP="00145934">
      <w:pPr>
        <w:pStyle w:val="BodyText"/>
      </w:pPr>
      <w:r>
        <w:t xml:space="preserve">Timber harvesting would continue into the future independent of the CalVTP, and it is anticipated that approximately 173,000 acres would </w:t>
      </w:r>
      <w:r w:rsidR="00C83C56">
        <w:t>be treated/harvested</w:t>
      </w:r>
      <w:r>
        <w:t xml:space="preserve"> each year based on the average annual treatment acreage that has occurred over the past 14 years.</w:t>
      </w:r>
    </w:p>
    <w:p w14:paraId="00238E7B" w14:textId="77777777" w:rsidR="00831530" w:rsidRPr="00E93BEE" w:rsidRDefault="00831530" w:rsidP="00EC65E8">
      <w:pPr>
        <w:pStyle w:val="Heading3"/>
      </w:pPr>
      <w:bookmarkStart w:id="10" w:name="_Hlk536698547"/>
      <w:r w:rsidRPr="00E93BEE">
        <w:lastRenderedPageBreak/>
        <w:t xml:space="preserve">Public Resources Code 4291 </w:t>
      </w:r>
      <w:bookmarkEnd w:id="10"/>
      <w:r w:rsidRPr="00E93BEE">
        <w:t>– Defensible Space</w:t>
      </w:r>
    </w:p>
    <w:p w14:paraId="60CA5E9A" w14:textId="12FCD9D5" w:rsidR="00831530" w:rsidRDefault="00831530" w:rsidP="00145934">
      <w:pPr>
        <w:pStyle w:val="BodyText"/>
      </w:pPr>
      <w:r>
        <w:t xml:space="preserve">PRC Section 4291 directs the creation and maintenance of 100 feet of defensible space </w:t>
      </w:r>
      <w:r w:rsidRPr="00676514">
        <w:t>around all bui</w:t>
      </w:r>
      <w:r>
        <w:t xml:space="preserve">ldings and structures on </w:t>
      </w:r>
      <w:r w:rsidR="00147DCB" w:rsidRPr="00812305">
        <w:t>non-federal SRA lands, non-federal forest-covered lands</w:t>
      </w:r>
      <w:r>
        <w:t>,</w:t>
      </w:r>
      <w:r w:rsidRPr="00676514">
        <w:t xml:space="preserve"> brush, </w:t>
      </w:r>
      <w:r>
        <w:t xml:space="preserve">and </w:t>
      </w:r>
      <w:r w:rsidRPr="00676514">
        <w:t>grass-covered lands</w:t>
      </w:r>
      <w:r w:rsidR="004E4CB5">
        <w:t>,</w:t>
      </w:r>
      <w:r w:rsidRPr="00676514">
        <w:t xml:space="preserve"> or any land that is covered with flammable material.</w:t>
      </w:r>
      <w:r>
        <w:t xml:space="preserve"> The exact number of acres treated under PRC Section 4291 is variable from year to year; however, some assumptions about acreages can be made knowing that more than 700,000 habitable structures were billed for the Fire Prevention Fee in the SRA in </w:t>
      </w:r>
      <w:r w:rsidR="00C83C56">
        <w:t xml:space="preserve">recent </w:t>
      </w:r>
      <w:r>
        <w:t>years. Assuming no overlapping defensible space, no property boundary restrictions, and a median habitable structure footprint of 2,100 square feet (</w:t>
      </w:r>
      <w:r w:rsidRPr="001E1510">
        <w:t>U.S. Census 2010</w:t>
      </w:r>
      <w:r>
        <w:t>) in a perfect square, each habitable structure under the identified assumptions would treat approximate 1 acre or about 700,000 acres of vegetation statewide. However, many structures do not have such large footprints or are on parcels less than 1 acre in size, and many 100-foot zones overlap between parcels/homes. Therefore, it can be assumed that the vegetation modified under PRC Section 4291 is less than 700,000 acres</w:t>
      </w:r>
      <w:r w:rsidR="00C83C56">
        <w:t xml:space="preserve"> per year</w:t>
      </w:r>
      <w:r>
        <w:t>.</w:t>
      </w:r>
      <w:r w:rsidR="00E75850">
        <w:t xml:space="preserve"> Some of this is new vegetation clearing as homes are developed, but the majority is continued maintenance of defensible space. </w:t>
      </w:r>
    </w:p>
    <w:p w14:paraId="0490E493" w14:textId="4ECC4602" w:rsidR="00A566B7" w:rsidRPr="00A67147" w:rsidRDefault="002D5060" w:rsidP="00145934">
      <w:pPr>
        <w:pStyle w:val="BodyText"/>
      </w:pPr>
      <w:r>
        <w:t xml:space="preserve">It is assumed that the acreage treated for defensible space </w:t>
      </w:r>
      <w:r w:rsidR="006A7BA4">
        <w:t xml:space="preserve">will continue </w:t>
      </w:r>
      <w:r>
        <w:t xml:space="preserve">to be maintained </w:t>
      </w:r>
      <w:r w:rsidR="006A7BA4">
        <w:t>into the future independent of the CalVTP. It is</w:t>
      </w:r>
      <w:r w:rsidR="00E75850">
        <w:t xml:space="preserve"> also</w:t>
      </w:r>
      <w:r w:rsidR="006A7BA4">
        <w:t xml:space="preserve"> </w:t>
      </w:r>
      <w:r>
        <w:t>expected</w:t>
      </w:r>
      <w:r w:rsidR="006A7BA4">
        <w:t xml:space="preserve"> that there would be an increase in the </w:t>
      </w:r>
      <w:r>
        <w:t xml:space="preserve">defensible space </w:t>
      </w:r>
      <w:r w:rsidR="006A7BA4">
        <w:t>acreage</w:t>
      </w:r>
      <w:r w:rsidR="0047573E">
        <w:t xml:space="preserve"> treated</w:t>
      </w:r>
      <w:r w:rsidR="006A7BA4">
        <w:t xml:space="preserve"> </w:t>
      </w:r>
      <w:r>
        <w:t xml:space="preserve">over time </w:t>
      </w:r>
      <w:r w:rsidR="006A7BA4">
        <w:t xml:space="preserve">as the number of habitable structures in the </w:t>
      </w:r>
      <w:r w:rsidR="00D5690E">
        <w:t>SRA</w:t>
      </w:r>
      <w:r w:rsidR="006A7BA4">
        <w:t xml:space="preserve"> increases. </w:t>
      </w:r>
      <w:r w:rsidR="00877C77">
        <w:t xml:space="preserve">Table 3.12-3 in Section 3.12, </w:t>
      </w:r>
      <w:r w:rsidR="00CC081D">
        <w:t>“</w:t>
      </w:r>
      <w:r w:rsidR="00877C77">
        <w:t>Land Use and Planning, Population and Housing,</w:t>
      </w:r>
      <w:r w:rsidR="00CC081D">
        <w:t>”</w:t>
      </w:r>
      <w:r w:rsidR="00877C77">
        <w:t xml:space="preserve"> shows that the majority of counties in California, including those in the treatable landscape for the proposed CalVTP, are expected to experience population growth, and associated expansion of development, by </w:t>
      </w:r>
      <w:r w:rsidR="00877C77" w:rsidRPr="00E12131">
        <w:t>20</w:t>
      </w:r>
      <w:r w:rsidR="00877C77">
        <w:t>6</w:t>
      </w:r>
      <w:r w:rsidR="00877C77" w:rsidRPr="00E12131">
        <w:t>0</w:t>
      </w:r>
      <w:r w:rsidR="00877C77">
        <w:t xml:space="preserve"> (DOF 2018). </w:t>
      </w:r>
    </w:p>
    <w:p w14:paraId="4E9C2E02" w14:textId="77777777" w:rsidR="00831530" w:rsidRPr="00BF1044" w:rsidRDefault="00831530" w:rsidP="00EC65E8">
      <w:pPr>
        <w:pStyle w:val="Heading3"/>
      </w:pPr>
      <w:r w:rsidRPr="00BF1044">
        <w:t>CAL FIRE Demonstration Forests</w:t>
      </w:r>
    </w:p>
    <w:p w14:paraId="589DEA6D" w14:textId="542D6639" w:rsidR="00831530" w:rsidRDefault="00831530" w:rsidP="00145934">
      <w:pPr>
        <w:pStyle w:val="BodyText"/>
        <w:rPr>
          <w:lang w:val="en"/>
        </w:rPr>
      </w:pPr>
      <w:r>
        <w:rPr>
          <w:lang w:val="en"/>
        </w:rPr>
        <w:t xml:space="preserve">CAL FIRE operates eight Demonstration State Forests </w:t>
      </w:r>
      <w:r w:rsidR="00E75850">
        <w:rPr>
          <w:lang w:val="en"/>
        </w:rPr>
        <w:t xml:space="preserve">encompassing a total of </w:t>
      </w:r>
      <w:r>
        <w:rPr>
          <w:lang w:val="en"/>
        </w:rPr>
        <w:t xml:space="preserve">71,000 acres. The forests represent the most common forest types in the state. These forests grow approximately 75 million board feet yearly and harvest an average of 30 million board feet of timber each year, enough to build 3,000 single-family homes. Revenue from these harvests fund a variety of </w:t>
      </w:r>
      <w:r w:rsidR="00A9026D">
        <w:rPr>
          <w:lang w:val="en"/>
        </w:rPr>
        <w:t>CAL FIRE</w:t>
      </w:r>
      <w:r w:rsidR="00CC081D">
        <w:rPr>
          <w:lang w:val="en"/>
        </w:rPr>
        <w:t>’</w:t>
      </w:r>
      <w:r w:rsidR="00A9026D">
        <w:rPr>
          <w:lang w:val="en"/>
        </w:rPr>
        <w:t>s</w:t>
      </w:r>
      <w:r>
        <w:rPr>
          <w:lang w:val="en"/>
        </w:rPr>
        <w:t xml:space="preserve"> Resource Management Programs. In addition, the</w:t>
      </w:r>
      <w:r w:rsidR="00DC7204">
        <w:rPr>
          <w:lang w:val="en"/>
        </w:rPr>
        <w:t>se</w:t>
      </w:r>
      <w:r>
        <w:rPr>
          <w:lang w:val="en"/>
        </w:rPr>
        <w:t xml:space="preserve"> forests provide research and demonstration projects on forest management, while providing public recreation opportunities, fish and wildlife habitat, and watershed protection.</w:t>
      </w:r>
    </w:p>
    <w:p w14:paraId="5ED93829" w14:textId="026E909E" w:rsidR="00DC7204" w:rsidRPr="00CA43CC" w:rsidRDefault="00DC7204" w:rsidP="00145934">
      <w:pPr>
        <w:pStyle w:val="BodyText"/>
      </w:pPr>
      <w:r>
        <w:rPr>
          <w:lang w:val="en"/>
        </w:rPr>
        <w:t>The 71,000 acres of Demonstration State Forests is expected to continue to be managed for demonstration projects in the future independent of the CalVTP.</w:t>
      </w:r>
    </w:p>
    <w:p w14:paraId="15C7FB14" w14:textId="7F855D6E" w:rsidR="00831530" w:rsidRPr="00D77432" w:rsidRDefault="00831530" w:rsidP="00EC65E8">
      <w:pPr>
        <w:pStyle w:val="Heading3"/>
      </w:pPr>
      <w:r w:rsidRPr="00D77432">
        <w:t>E</w:t>
      </w:r>
      <w:r w:rsidR="002D66B0">
        <w:t xml:space="preserve">xecutive </w:t>
      </w:r>
      <w:r w:rsidRPr="00D77432">
        <w:t>O</w:t>
      </w:r>
      <w:r w:rsidR="002D66B0">
        <w:t>rder</w:t>
      </w:r>
      <w:r w:rsidRPr="00D77432">
        <w:t xml:space="preserve"> B-42-17</w:t>
      </w:r>
      <w:r w:rsidR="002D66B0">
        <w:t xml:space="preserve"> (Tree Mortality)</w:t>
      </w:r>
    </w:p>
    <w:p w14:paraId="33F7E437" w14:textId="7CCFCC6C" w:rsidR="00831530" w:rsidRDefault="00831530" w:rsidP="00145934">
      <w:pPr>
        <w:pStyle w:val="BodyText"/>
      </w:pPr>
      <w:r w:rsidRPr="004C4C0B">
        <w:t>More than 100 million trees have died</w:t>
      </w:r>
      <w:r w:rsidR="00811A8C">
        <w:t xml:space="preserve"> </w:t>
      </w:r>
      <w:r w:rsidR="00345BBE">
        <w:t xml:space="preserve">in California </w:t>
      </w:r>
      <w:r w:rsidR="00811A8C">
        <w:t>since 2010</w:t>
      </w:r>
      <w:r w:rsidRPr="004C4C0B">
        <w:t xml:space="preserve"> and more continue to die from drought that has weakened the trees and left millions of acres of forestland highly susceptible to insect attacks. The drought stress is exacerbated in forests with too many trees competing for limited resources, especially water. On October 30, 2015</w:t>
      </w:r>
      <w:r w:rsidR="00E201BF">
        <w:t>,</w:t>
      </w:r>
      <w:r w:rsidRPr="004C4C0B">
        <w:t xml:space="preserve"> Governor Brown issued an</w:t>
      </w:r>
      <w:hyperlink r:id="rId15" w:tgtFrame="_new" w:tooltip="California Emergency Declaration for Drought Caused Tree Mortality" w:history="1">
        <w:r w:rsidRPr="004C4C0B">
          <w:t xml:space="preserve"> emergency proclamation</w:t>
        </w:r>
      </w:hyperlink>
      <w:r w:rsidRPr="004C4C0B">
        <w:t xml:space="preserve"> and established the </w:t>
      </w:r>
      <w:hyperlink r:id="rId16" w:tgtFrame="_new" w:tooltip="California Tree Mortality Task Force" w:history="1">
        <w:r w:rsidRPr="004C4C0B">
          <w:t>California Tree Mortality Task Forc</w:t>
        </w:r>
      </w:hyperlink>
      <w:r w:rsidRPr="004C4C0B">
        <w:t>e</w:t>
      </w:r>
      <w:r w:rsidR="002D66B0">
        <w:t>. O</w:t>
      </w:r>
      <w:r w:rsidRPr="004C4C0B">
        <w:t>n September 1, 2017, Governor Brown issued EO B-42-17 to bolster the State</w:t>
      </w:r>
      <w:r w:rsidR="00CC081D">
        <w:t>’</w:t>
      </w:r>
      <w:r w:rsidRPr="004C4C0B">
        <w:t>s response to this unprecedented tree die-off through further expediting removal of millions of dead and dying trees across the state, by allowing Licensed Timber Operators to perform tree removal that previously required a tree service contractor</w:t>
      </w:r>
      <w:r w:rsidR="00CC081D">
        <w:t>’</w:t>
      </w:r>
      <w:r w:rsidRPr="004C4C0B">
        <w:t>s license.</w:t>
      </w:r>
    </w:p>
    <w:p w14:paraId="4EE053D0" w14:textId="5BB8274B" w:rsidR="00261F80" w:rsidRDefault="00FD0A92" w:rsidP="00145934">
      <w:pPr>
        <w:pStyle w:val="BodyText"/>
      </w:pPr>
      <w:r w:rsidRPr="00FD0A92">
        <w:t>There</w:t>
      </w:r>
      <w:r>
        <w:t xml:space="preserve"> is an estimated 21.1 million acres within California that </w:t>
      </w:r>
      <w:r w:rsidR="00784D35">
        <w:t xml:space="preserve">have been </w:t>
      </w:r>
      <w:r>
        <w:t xml:space="preserve">identified </w:t>
      </w:r>
      <w:r w:rsidR="00784D35">
        <w:t xml:space="preserve">by </w:t>
      </w:r>
      <w:hyperlink r:id="rId17" w:tgtFrame="_new" w:tooltip="California Tree Mortality Task Force" w:history="1">
        <w:r w:rsidR="00784D35">
          <w:t xml:space="preserve">the </w:t>
        </w:r>
        <w:r w:rsidR="00784D35" w:rsidRPr="004C4C0B">
          <w:t>Tree Mortality Task Forc</w:t>
        </w:r>
      </w:hyperlink>
      <w:r w:rsidR="00784D35" w:rsidRPr="004C4C0B">
        <w:t>e</w:t>
      </w:r>
      <w:r w:rsidR="00784D35">
        <w:t xml:space="preserve"> </w:t>
      </w:r>
      <w:r>
        <w:t xml:space="preserve">as high hazard zones, which are areas in </w:t>
      </w:r>
      <w:r w:rsidR="00784D35">
        <w:t xml:space="preserve">the </w:t>
      </w:r>
      <w:r>
        <w:t>greatest need of dead tree removal due to severe tree mortality levels</w:t>
      </w:r>
      <w:r w:rsidR="00A34679">
        <w:t xml:space="preserve"> (</w:t>
      </w:r>
      <w:r w:rsidR="00A34679" w:rsidRPr="00385763">
        <w:t>Tree Mortality Task Force 2017)</w:t>
      </w:r>
      <w:r w:rsidRPr="00385763">
        <w:t>.</w:t>
      </w:r>
      <w:r w:rsidR="00BC7353" w:rsidRPr="00385763">
        <w:t xml:space="preserve"> </w:t>
      </w:r>
      <w:r w:rsidR="00B268BC" w:rsidRPr="00385763">
        <w:t>It is expected that removal of dead trees within the 21.1 million acres identified will continue in the future independent from CalVTP; however, there is the potential for CalVTP treatments to occur in areas</w:t>
      </w:r>
      <w:r w:rsidR="00B268BC">
        <w:t xml:space="preserve"> identified as a high priority for dead tree removal</w:t>
      </w:r>
      <w:r w:rsidR="002D66B0">
        <w:t xml:space="preserve"> and contribute to achieving the directives of the EO by removing dead and dying trees</w:t>
      </w:r>
      <w:r w:rsidR="00B268BC">
        <w:t>.</w:t>
      </w:r>
    </w:p>
    <w:p w14:paraId="42C8599D" w14:textId="638C73C9" w:rsidR="00925E8A" w:rsidRDefault="00925E8A" w:rsidP="00925E8A">
      <w:pPr>
        <w:pStyle w:val="Heading3"/>
      </w:pPr>
      <w:r>
        <w:lastRenderedPageBreak/>
        <w:t>EO N-05-19</w:t>
      </w:r>
    </w:p>
    <w:p w14:paraId="65222DCC" w14:textId="670A52B5" w:rsidR="00925E8A" w:rsidRDefault="00925E8A" w:rsidP="009A2F2A">
      <w:pPr>
        <w:pStyle w:val="BodyText"/>
      </w:pPr>
      <w:r>
        <w:t xml:space="preserve">On </w:t>
      </w:r>
      <w:r w:rsidRPr="00C106E9">
        <w:t>January 9,</w:t>
      </w:r>
      <w:r>
        <w:t xml:space="preserve"> 2019,</w:t>
      </w:r>
      <w:r w:rsidRPr="00C106E9">
        <w:t xml:space="preserve"> Governor </w:t>
      </w:r>
      <w:r>
        <w:t xml:space="preserve">Newsom </w:t>
      </w:r>
      <w:r w:rsidRPr="00C106E9">
        <w:t xml:space="preserve">issued </w:t>
      </w:r>
      <w:r>
        <w:t>EO</w:t>
      </w:r>
      <w:r w:rsidRPr="00C106E9">
        <w:t xml:space="preserve"> N-05-19, directing CAL FIRE to recommend immediate, medium and long-term actions to help prevent destructive wildfires. With an emphasis on taking immediate actions to protect vulnerable populations, and recognizing a backlog in fuels management, the </w:t>
      </w:r>
      <w:r>
        <w:t>EO</w:t>
      </w:r>
      <w:r w:rsidRPr="00C106E9">
        <w:t xml:space="preserve"> called for a strategic approach to focus actions on California</w:t>
      </w:r>
      <w:r w:rsidR="00CC081D">
        <w:t>’</w:t>
      </w:r>
      <w:r w:rsidRPr="00C106E9">
        <w:t>s most vulnerable communities to realize the greatest returns on reducing risk to life and property in the most fire-prone areas of the state.</w:t>
      </w:r>
    </w:p>
    <w:p w14:paraId="1DEB40D0" w14:textId="1E9EE939" w:rsidR="00925E8A" w:rsidRPr="00C25335" w:rsidRDefault="00925E8A" w:rsidP="009A2F2A">
      <w:pPr>
        <w:pStyle w:val="BodyText"/>
      </w:pPr>
      <w:r w:rsidRPr="00C25335">
        <w:t>Governor Newsom also proclaimed a State of Emergency on March 22, 2019, related to protecting the state</w:t>
      </w:r>
      <w:r w:rsidR="00CC081D">
        <w:t>’</w:t>
      </w:r>
      <w:r w:rsidRPr="00C25335">
        <w:t>s most vulnerable communities from wildfire. Under this proclamation, Governor Newsom provides time-saving waivers of administrative and regulatory requirements to protect public safety and allow for action to be taken to begin to systematically address community vulnerability and wildfire fuel buildup through the rapid deployment of forest management resources. Thirty-five priority projects that were identified in response to EO N-05-19 were identified by geographic areas with populations that are particularly at risk during natural disasters. This proclamation directs CAL FIRE to immediately move forward with implementation of these priority projects.</w:t>
      </w:r>
      <w:r w:rsidR="007264EB" w:rsidRPr="00C25335">
        <w:t xml:space="preserve"> These 35 projects </w:t>
      </w:r>
      <w:r w:rsidR="00C25335" w:rsidRPr="00C25335">
        <w:t>would include fuel reduction treatments on</w:t>
      </w:r>
      <w:r w:rsidR="007264EB" w:rsidRPr="00C25335">
        <w:t xml:space="preserve"> approximately 95,800 acres</w:t>
      </w:r>
      <w:r w:rsidR="00C25335" w:rsidRPr="00C25335">
        <w:t xml:space="preserve">. CAL FIRE requested input from regulatory agencies, and will employ a set of best management practices designed to identify and avoid sensitive natural and archaeological resources; however, these projects </w:t>
      </w:r>
      <w:r w:rsidR="007264EB" w:rsidRPr="00C25335">
        <w:t xml:space="preserve">are exempt from CEQA. </w:t>
      </w:r>
    </w:p>
    <w:p w14:paraId="47FAE36D" w14:textId="77777777" w:rsidR="00831530" w:rsidRDefault="00831530" w:rsidP="00EC65E8">
      <w:pPr>
        <w:pStyle w:val="Heading3"/>
      </w:pPr>
      <w:r w:rsidRPr="00B849DC">
        <w:t>California 2030 Natural and Working Lands Climate Change Implementation Plan</w:t>
      </w:r>
    </w:p>
    <w:p w14:paraId="7EF3B771" w14:textId="360BCDC0" w:rsidR="00831530" w:rsidRPr="00520178" w:rsidRDefault="00831530" w:rsidP="009A2F2A">
      <w:pPr>
        <w:pStyle w:val="BodyText"/>
      </w:pPr>
      <w:r>
        <w:t>California</w:t>
      </w:r>
      <w:r w:rsidR="00CC081D">
        <w:t>’</w:t>
      </w:r>
      <w:r>
        <w:t>s natural and working lands cover more than 90 percent of California and include rangeland, forests, woodlands, wetlands and coastal areas, grasslands, shrubland, farmland, riparian areas, and urban green space. With their potential to sequester carbon, reduce GHG emissions, and increase the capacity for California to withstand inevitable climate impacts, these lands are also a critical component of California</w:t>
      </w:r>
      <w:r w:rsidR="00CC081D">
        <w:t>’</w:t>
      </w:r>
      <w:r>
        <w:t xml:space="preserve">s integrated climate change strategy. Under the </w:t>
      </w:r>
      <w:r w:rsidRPr="00925C01">
        <w:rPr>
          <w:i/>
        </w:rPr>
        <w:t>California 2030 Natural and Working Lands Climate Change Implementation Plan</w:t>
      </w:r>
      <w:r>
        <w:t xml:space="preserve"> </w:t>
      </w:r>
      <w:r w:rsidR="0070166B">
        <w:t xml:space="preserve">(Implementation Plan) </w:t>
      </w:r>
      <w:r>
        <w:t>the State will strive to increase the acres of cultivated lands and rangelands under State-funded soil conservation practices</w:t>
      </w:r>
      <w:r w:rsidR="0070166B">
        <w:t xml:space="preserve"> by two </w:t>
      </w:r>
      <w:r w:rsidR="00784D35">
        <w:t>to</w:t>
      </w:r>
      <w:r w:rsidR="0070166B">
        <w:t xml:space="preserve"> five times</w:t>
      </w:r>
      <w:r>
        <w:t xml:space="preserve">, double the rate of State-funded forest management or restoration efforts, </w:t>
      </w:r>
      <w:r w:rsidR="00784D35">
        <w:t xml:space="preserve">and </w:t>
      </w:r>
      <w:r>
        <w:t xml:space="preserve">triple the rate of State-funded oak woodland and riparian restoration. </w:t>
      </w:r>
      <w:r w:rsidR="00C44001">
        <w:t xml:space="preserve">Annual </w:t>
      </w:r>
      <w:r w:rsidR="006D74E3">
        <w:t xml:space="preserve">treatment </w:t>
      </w:r>
      <w:r w:rsidR="00C44001">
        <w:t>a</w:t>
      </w:r>
      <w:r w:rsidR="00520178">
        <w:t>creage goa</w:t>
      </w:r>
      <w:r w:rsidR="00C44001">
        <w:t>l</w:t>
      </w:r>
      <w:r w:rsidR="00520178">
        <w:t xml:space="preserve">s </w:t>
      </w:r>
      <w:r w:rsidR="00C44001">
        <w:t>for the Implementation Plan</w:t>
      </w:r>
      <w:r w:rsidR="00520178">
        <w:t xml:space="preserve"> include </w:t>
      </w:r>
      <w:r w:rsidR="00520178" w:rsidRPr="00520178">
        <w:t>23,800-73,300 acres</w:t>
      </w:r>
      <w:r w:rsidR="009E18B6">
        <w:t xml:space="preserve"> of prescribed burning, </w:t>
      </w:r>
      <w:r w:rsidR="00520178" w:rsidRPr="00520178">
        <w:t>59,000-73,000 acres</w:t>
      </w:r>
      <w:r w:rsidR="009E18B6">
        <w:t xml:space="preserve"> of thinning</w:t>
      </w:r>
      <w:r w:rsidR="00520178" w:rsidRPr="00520178">
        <w:t>, 49,800-58,800 acres</w:t>
      </w:r>
      <w:r w:rsidR="009E18B6">
        <w:t xml:space="preserve"> of l</w:t>
      </w:r>
      <w:r w:rsidR="009E18B6" w:rsidRPr="00520178">
        <w:t>ess intensive forest management</w:t>
      </w:r>
      <w:r w:rsidR="009E18B6">
        <w:t xml:space="preserve">, </w:t>
      </w:r>
      <w:r w:rsidR="00520178" w:rsidRPr="00520178">
        <w:t>23,500-25,300 acres</w:t>
      </w:r>
      <w:r w:rsidR="009E18B6">
        <w:t xml:space="preserve"> of understory trimming</w:t>
      </w:r>
      <w:r w:rsidR="00520178" w:rsidRPr="00520178">
        <w:t>, 9,100-19,600 acres</w:t>
      </w:r>
      <w:r w:rsidR="009E18B6">
        <w:t xml:space="preserve"> of riparian restoration, </w:t>
      </w:r>
      <w:r w:rsidR="00520178" w:rsidRPr="00520178">
        <w:t>3,100-6,100 acres</w:t>
      </w:r>
      <w:r w:rsidR="009E18B6">
        <w:t xml:space="preserve"> of o</w:t>
      </w:r>
      <w:r w:rsidR="009E18B6" w:rsidRPr="00520178">
        <w:t>ak woodland restoration</w:t>
      </w:r>
      <w:r w:rsidR="00520178" w:rsidRPr="00520178">
        <w:t xml:space="preserve">, </w:t>
      </w:r>
      <w:r w:rsidR="009E18B6">
        <w:t>8,100 acres of m</w:t>
      </w:r>
      <w:r w:rsidR="00520178" w:rsidRPr="00520178">
        <w:t xml:space="preserve">eadow restoration, </w:t>
      </w:r>
      <w:r w:rsidR="009E18B6">
        <w:t xml:space="preserve">and </w:t>
      </w:r>
      <w:r w:rsidR="00520178" w:rsidRPr="00520178">
        <w:t>2,100-4,200 acres</w:t>
      </w:r>
      <w:r w:rsidR="009E18B6">
        <w:t xml:space="preserve"> of p</w:t>
      </w:r>
      <w:r w:rsidR="009E18B6" w:rsidRPr="00520178">
        <w:t>rescribed grazing</w:t>
      </w:r>
      <w:r w:rsidR="009E18B6">
        <w:t xml:space="preserve"> (CalEPA et al. 2019).</w:t>
      </w:r>
      <w:r w:rsidR="006D74E3">
        <w:t xml:space="preserve"> These treatments acreages would be on non-federal land, specifically within the LRA and SRA, and would</w:t>
      </w:r>
      <w:r w:rsidR="00523D63">
        <w:t>,</w:t>
      </w:r>
      <w:r w:rsidR="006D74E3">
        <w:t xml:space="preserve"> therefore</w:t>
      </w:r>
      <w:r w:rsidR="00523D63">
        <w:t>,</w:t>
      </w:r>
      <w:r w:rsidR="006D74E3">
        <w:t xml:space="preserve"> include some of the treatment acreage targeted by the proposed CalVTP. </w:t>
      </w:r>
    </w:p>
    <w:p w14:paraId="66D16B00" w14:textId="77777777" w:rsidR="00831530" w:rsidRPr="00A828EE" w:rsidRDefault="00831530" w:rsidP="00EC65E8">
      <w:pPr>
        <w:pStyle w:val="Heading3"/>
      </w:pPr>
      <w:r w:rsidRPr="00A828EE">
        <w:t>California Forest Carbon Plan</w:t>
      </w:r>
    </w:p>
    <w:p w14:paraId="0B02D012" w14:textId="3E3A18E2" w:rsidR="00831530" w:rsidRDefault="00831530" w:rsidP="009A2F2A">
      <w:pPr>
        <w:pStyle w:val="BodyText"/>
      </w:pPr>
      <w:r w:rsidRPr="005252A5">
        <w:t xml:space="preserve">Through the </w:t>
      </w:r>
      <w:r w:rsidRPr="002608FC">
        <w:rPr>
          <w:i/>
        </w:rPr>
        <w:t>California Forest Carbon Plan</w:t>
      </w:r>
      <w:r w:rsidRPr="005252A5">
        <w:t xml:space="preserve"> and other collaborative work in local, regional</w:t>
      </w:r>
      <w:r w:rsidR="002608FC">
        <w:t>,</w:t>
      </w:r>
      <w:r w:rsidRPr="005252A5">
        <w:t xml:space="preserve"> and state-wide initiatives, the Forest Climate Action Team </w:t>
      </w:r>
      <w:r w:rsidR="006D74E3">
        <w:t xml:space="preserve">(a consortium of 19 federal, state, and local agencies) </w:t>
      </w:r>
      <w:r w:rsidRPr="005252A5">
        <w:t>aims to develop and implement plans to improve the health and resilience of California</w:t>
      </w:r>
      <w:r w:rsidR="00CC081D">
        <w:t>’</w:t>
      </w:r>
      <w:r w:rsidRPr="005252A5">
        <w:t>s forests, increase their carbon storage potential, and minimize their atmospheric emissions of GHG and black carbon. While the Forest Carbon Plan primarily targets carbon storage and emissions, it also emphasizes improving and safeguarding interrelated ecosystem services and benefits, as well as social and economic considerations.</w:t>
      </w:r>
      <w:r>
        <w:t xml:space="preserve"> </w:t>
      </w:r>
    </w:p>
    <w:p w14:paraId="221BA2CA" w14:textId="1129C7EB" w:rsidR="00831530" w:rsidRPr="00593E09" w:rsidRDefault="00831530" w:rsidP="009A2F2A">
      <w:pPr>
        <w:pStyle w:val="BodyText"/>
      </w:pPr>
      <w:r w:rsidRPr="00D00184">
        <w:t>T</w:t>
      </w:r>
      <w:r>
        <w:t>he</w:t>
      </w:r>
      <w:r w:rsidRPr="00D00184">
        <w:t xml:space="preserve"> Forest Carbon Plan considers opportunities to reverse these recent and historic adverse trends and </w:t>
      </w:r>
      <w:r w:rsidR="00A963EC">
        <w:t xml:space="preserve">return </w:t>
      </w:r>
      <w:r w:rsidRPr="00D00184">
        <w:t>California</w:t>
      </w:r>
      <w:r w:rsidR="00CC081D">
        <w:t>’</w:t>
      </w:r>
      <w:r w:rsidRPr="00D00184">
        <w:t xml:space="preserve">s forests </w:t>
      </w:r>
      <w:r w:rsidR="00A963EC">
        <w:t xml:space="preserve">to </w:t>
      </w:r>
      <w:r w:rsidRPr="00D00184">
        <w:t xml:space="preserve">a more resilient and reliable long-term carbon sink, rather than a GHG and black carbon emission source. </w:t>
      </w:r>
      <w:r>
        <w:t>The goals of the Forest Carbon Plan include the following:</w:t>
      </w:r>
    </w:p>
    <w:p w14:paraId="1940EEA9" w14:textId="77777777" w:rsidR="00831530" w:rsidRPr="007852DE" w:rsidRDefault="00831530" w:rsidP="007852DE">
      <w:pPr>
        <w:pStyle w:val="Bullet1"/>
      </w:pPr>
      <w:r w:rsidRPr="00593E09">
        <w:t xml:space="preserve">Significantly </w:t>
      </w:r>
      <w:r w:rsidRPr="007852DE">
        <w:t>increase the pace and scale of forest and watershed improvements on nonfederal forest lands through incentives and other mechanisms.</w:t>
      </w:r>
    </w:p>
    <w:p w14:paraId="6B10839D" w14:textId="49FBA754" w:rsidR="00831530" w:rsidRPr="007852DE" w:rsidRDefault="00831530" w:rsidP="007852DE">
      <w:pPr>
        <w:pStyle w:val="Bullet1"/>
      </w:pPr>
      <w:r w:rsidRPr="007852DE">
        <w:lastRenderedPageBreak/>
        <w:t xml:space="preserve">Support </w:t>
      </w:r>
      <w:r w:rsidR="008639C1" w:rsidRPr="007852DE">
        <w:t>f</w:t>
      </w:r>
      <w:r w:rsidRPr="007852DE">
        <w:t xml:space="preserve">ederal goals and actions to improve forest and watershed health and resiliency. </w:t>
      </w:r>
    </w:p>
    <w:p w14:paraId="7395FD0B" w14:textId="77777777" w:rsidR="00831530" w:rsidRPr="007852DE" w:rsidRDefault="00831530" w:rsidP="007852DE">
      <w:pPr>
        <w:pStyle w:val="Bullet1"/>
      </w:pPr>
      <w:r w:rsidRPr="007852DE">
        <w:t>Prevent forest land conversions through easements and acquisitions, as well as land use planning.</w:t>
      </w:r>
    </w:p>
    <w:p w14:paraId="5C19751F" w14:textId="77777777" w:rsidR="00831530" w:rsidRPr="007852DE" w:rsidRDefault="00831530" w:rsidP="007852DE">
      <w:pPr>
        <w:pStyle w:val="Bullet1"/>
      </w:pPr>
      <w:r w:rsidRPr="007852DE">
        <w:t>Innovate solutions for wood products and biomass utilization to support ongoing forest management activities.</w:t>
      </w:r>
    </w:p>
    <w:p w14:paraId="57AF1647" w14:textId="77777777" w:rsidR="00831530" w:rsidRPr="007852DE" w:rsidRDefault="00831530" w:rsidP="007852DE">
      <w:pPr>
        <w:pStyle w:val="Bullet1"/>
      </w:pPr>
      <w:r w:rsidRPr="007852DE">
        <w:t>Support key research, data management, and accountability needs.</w:t>
      </w:r>
    </w:p>
    <w:p w14:paraId="72F690D5" w14:textId="30619A2F" w:rsidR="00831530" w:rsidRDefault="00831530" w:rsidP="007852DE">
      <w:pPr>
        <w:pStyle w:val="Bullet1"/>
      </w:pPr>
      <w:r w:rsidRPr="007852DE">
        <w:t>Protect and enhance the carbon</w:t>
      </w:r>
      <w:r w:rsidRPr="002E7760">
        <w:t xml:space="preserve"> sequestration potential and related benefits of urban forests</w:t>
      </w:r>
      <w:r>
        <w:t>.</w:t>
      </w:r>
    </w:p>
    <w:p w14:paraId="731B7F41" w14:textId="768F3ADE" w:rsidR="00E370DE" w:rsidRDefault="00E370DE" w:rsidP="00AA0AD0">
      <w:pPr>
        <w:pStyle w:val="BodyText"/>
        <w:keepNext/>
      </w:pPr>
      <w:r w:rsidRPr="00E370DE">
        <w:t xml:space="preserve">To achieve these goals, the Forest Carbon Plan </w:t>
      </w:r>
      <w:r w:rsidR="006D74E3">
        <w:t>identifies</w:t>
      </w:r>
      <w:r w:rsidR="006D74E3" w:rsidRPr="00E370DE">
        <w:t xml:space="preserve"> </w:t>
      </w:r>
      <w:r w:rsidRPr="00E370DE">
        <w:t xml:space="preserve">the following </w:t>
      </w:r>
      <w:r w:rsidR="006D74E3">
        <w:t>actions</w:t>
      </w:r>
      <w:r>
        <w:t>:</w:t>
      </w:r>
    </w:p>
    <w:p w14:paraId="2650580E" w14:textId="52855392" w:rsidR="00E370DE" w:rsidRPr="007852DE" w:rsidRDefault="00E370DE" w:rsidP="007852DE">
      <w:pPr>
        <w:pStyle w:val="Bullet1"/>
      </w:pPr>
      <w:r w:rsidRPr="00E370DE">
        <w:t xml:space="preserve">By 2020, increase the rate of forest restoration and fuels treatment, including prescribed fire, from the recent </w:t>
      </w:r>
      <w:r w:rsidRPr="007852DE">
        <w:t xml:space="preserve">average of 17,500 acre/year to 35,000 acres/year. </w:t>
      </w:r>
    </w:p>
    <w:p w14:paraId="7951EB49" w14:textId="77777777" w:rsidR="00E370DE" w:rsidRPr="007852DE" w:rsidRDefault="00E370DE" w:rsidP="007852DE">
      <w:pPr>
        <w:pStyle w:val="Bullet1"/>
      </w:pPr>
      <w:r w:rsidRPr="007852DE">
        <w:t xml:space="preserve">By 2030, further increase the rate of forest restoration and fuels treatment to 60,000 acres/year. </w:t>
      </w:r>
    </w:p>
    <w:p w14:paraId="52EEFA93" w14:textId="77777777" w:rsidR="00E370DE" w:rsidRPr="007852DE" w:rsidRDefault="00E370DE" w:rsidP="007852DE">
      <w:pPr>
        <w:pStyle w:val="Bullet1"/>
      </w:pPr>
      <w:r w:rsidRPr="007852DE">
        <w:t xml:space="preserve">By 2030, increase the area reforested annually by 25 percent above the current level. </w:t>
      </w:r>
    </w:p>
    <w:p w14:paraId="2C1F4228" w14:textId="2A22F7E4" w:rsidR="00E370DE" w:rsidRPr="007852DE" w:rsidRDefault="00E370DE" w:rsidP="007852DE">
      <w:pPr>
        <w:pStyle w:val="Bullet1"/>
      </w:pPr>
      <w:r w:rsidRPr="007852DE">
        <w:t>By 2025, expand areas of high priority habitat by 5 percent above current levels, as provided.</w:t>
      </w:r>
    </w:p>
    <w:p w14:paraId="4E1F3CCF" w14:textId="364D2D01" w:rsidR="005641FA" w:rsidRDefault="00E370DE" w:rsidP="007852DE">
      <w:pPr>
        <w:pStyle w:val="Bullet1"/>
      </w:pPr>
      <w:r w:rsidRPr="007852DE">
        <w:t>By 2030,</w:t>
      </w:r>
      <w:r>
        <w:t xml:space="preserve"> lead efforts to restore 10,000 acres of mountain meadow habitat in key locations (</w:t>
      </w:r>
      <w:r w:rsidR="006D58FD" w:rsidRPr="009101DF">
        <w:t>Forest Climate Action Team</w:t>
      </w:r>
      <w:r>
        <w:t xml:space="preserve"> 2018). </w:t>
      </w:r>
    </w:p>
    <w:p w14:paraId="49C44532" w14:textId="1ED31B7C" w:rsidR="006D74E3" w:rsidRPr="00D00184" w:rsidRDefault="006D74E3" w:rsidP="007852DE">
      <w:pPr>
        <w:pStyle w:val="BodyText"/>
      </w:pPr>
      <w:r>
        <w:t>These treatments acreages would be throughout California within FRA, SRA, and LRA, and would therefore include some of the treatment acreage targeted by the proposed CalVTP.</w:t>
      </w:r>
    </w:p>
    <w:p w14:paraId="781F42EC" w14:textId="77777777" w:rsidR="00831530" w:rsidRPr="00B921DD" w:rsidRDefault="00831530" w:rsidP="00EC65E8">
      <w:pPr>
        <w:pStyle w:val="Heading3"/>
      </w:pPr>
      <w:r w:rsidRPr="00B921DD">
        <w:t>General Plans and Specific Plans</w:t>
      </w:r>
    </w:p>
    <w:p w14:paraId="38DD9DD6" w14:textId="5256E739" w:rsidR="00212375" w:rsidRDefault="00523D63" w:rsidP="003B4CC5">
      <w:pPr>
        <w:pStyle w:val="BodyText"/>
      </w:pPr>
      <w:r>
        <w:t>P</w:t>
      </w:r>
      <w:r w:rsidR="00DA40A2" w:rsidRPr="00BC2A07">
        <w:t xml:space="preserve">opulation </w:t>
      </w:r>
      <w:r>
        <w:t>is</w:t>
      </w:r>
      <w:r w:rsidR="00052B74">
        <w:t xml:space="preserve"> projected to </w:t>
      </w:r>
      <w:r>
        <w:t xml:space="preserve">continue to </w:t>
      </w:r>
      <w:r w:rsidR="00052B74">
        <w:t>increase throughout</w:t>
      </w:r>
      <w:r w:rsidR="00DA40A2" w:rsidRPr="00BC2A07">
        <w:t xml:space="preserve"> the state. </w:t>
      </w:r>
      <w:r w:rsidR="00B26A06">
        <w:t xml:space="preserve">As shown in Table 3.12-3 in Section 3.12, </w:t>
      </w:r>
      <w:r w:rsidR="00CC081D">
        <w:t>“</w:t>
      </w:r>
      <w:r w:rsidR="00B26A06">
        <w:t>Land Use and Planning, Population and Housing,</w:t>
      </w:r>
      <w:r w:rsidR="00CC081D">
        <w:t>”</w:t>
      </w:r>
      <w:r w:rsidR="00B26A06">
        <w:t xml:space="preserve"> </w:t>
      </w:r>
      <w:r w:rsidR="004A751E">
        <w:t xml:space="preserve">the majority of </w:t>
      </w:r>
      <w:r w:rsidR="004E7ED2">
        <w:t xml:space="preserve">counties </w:t>
      </w:r>
      <w:r w:rsidR="00AE748D">
        <w:t xml:space="preserve">in California </w:t>
      </w:r>
      <w:r w:rsidR="00B26A06">
        <w:t>are expected to</w:t>
      </w:r>
      <w:r w:rsidR="004E7ED2">
        <w:t xml:space="preserve"> experience population growth </w:t>
      </w:r>
      <w:r w:rsidR="00AE748D">
        <w:t xml:space="preserve">by </w:t>
      </w:r>
      <w:r w:rsidR="00AE748D" w:rsidRPr="00E12131">
        <w:t>20</w:t>
      </w:r>
      <w:r w:rsidR="00B26A06">
        <w:t>6</w:t>
      </w:r>
      <w:r w:rsidR="00AE748D" w:rsidRPr="00E12131">
        <w:t>0</w:t>
      </w:r>
      <w:r w:rsidR="00AE748D">
        <w:t xml:space="preserve"> </w:t>
      </w:r>
      <w:r w:rsidR="00BC2A07">
        <w:t>(DOF 2018)</w:t>
      </w:r>
      <w:r w:rsidR="004E7ED2">
        <w:t>.</w:t>
      </w:r>
      <w:r w:rsidR="00AE748D">
        <w:t xml:space="preserve"> </w:t>
      </w:r>
      <w:r>
        <w:t xml:space="preserve">In </w:t>
      </w:r>
      <w:r w:rsidR="00212375">
        <w:t>California</w:t>
      </w:r>
      <w:r>
        <w:t>, land use development needed</w:t>
      </w:r>
      <w:r w:rsidR="00212375">
        <w:t xml:space="preserve"> </w:t>
      </w:r>
      <w:r>
        <w:t xml:space="preserve">to provide for housing, employment, and other needs of a growing population </w:t>
      </w:r>
      <w:r w:rsidR="00212375">
        <w:t xml:space="preserve">is </w:t>
      </w:r>
      <w:r w:rsidR="00A019C4">
        <w:t xml:space="preserve">primarily </w:t>
      </w:r>
      <w:r w:rsidR="00212375">
        <w:t xml:space="preserve">guided by </w:t>
      </w:r>
      <w:r>
        <w:t xml:space="preserve">city and county </w:t>
      </w:r>
      <w:r w:rsidR="00212375">
        <w:t>general plans and specific plans.</w:t>
      </w:r>
    </w:p>
    <w:p w14:paraId="276758A0" w14:textId="7714F06E" w:rsidR="0076737F" w:rsidRDefault="00831530" w:rsidP="003B4CC5">
      <w:pPr>
        <w:pStyle w:val="BodyText"/>
      </w:pPr>
      <w:r w:rsidRPr="00B921DD">
        <w:t>California Government Code Section 65300 et seq. establishes the obligation of cities and counties to adopt</w:t>
      </w:r>
      <w:r w:rsidR="00212375">
        <w:t xml:space="preserve"> </w:t>
      </w:r>
      <w:r w:rsidRPr="00B921DD">
        <w:t>and implement general plans. The general plan is a comprehensive, long-term, and general document that</w:t>
      </w:r>
      <w:r w:rsidR="00212375">
        <w:t xml:space="preserve"> </w:t>
      </w:r>
      <w:r w:rsidRPr="00B921DD">
        <w:t>describes plans for the physical development of a city or county and of any land outside its boundaries that,</w:t>
      </w:r>
      <w:r w:rsidR="00212375">
        <w:t xml:space="preserve"> </w:t>
      </w:r>
      <w:r w:rsidRPr="00B921DD">
        <w:t>in the city</w:t>
      </w:r>
      <w:r w:rsidR="00CC081D">
        <w:t>’</w:t>
      </w:r>
      <w:r w:rsidRPr="00B921DD">
        <w:t>s or county</w:t>
      </w:r>
      <w:r w:rsidR="00CC081D">
        <w:t>’</w:t>
      </w:r>
      <w:r w:rsidRPr="00B921DD">
        <w:t>s judgment, bears relation to its planning. The general plan addresses a broad range of</w:t>
      </w:r>
      <w:r w:rsidR="00212375">
        <w:t xml:space="preserve"> </w:t>
      </w:r>
      <w:r w:rsidRPr="00B921DD">
        <w:t>topics, including at a minimum land use, circulation, housing, conservation, open space, noise, and safety. In</w:t>
      </w:r>
      <w:r w:rsidR="00212375">
        <w:t xml:space="preserve"> </w:t>
      </w:r>
      <w:r w:rsidRPr="00B921DD">
        <w:t>addressing these topics, the general plan identifies the goals, objectives, policies, principles, standards, and</w:t>
      </w:r>
      <w:r w:rsidR="00212375">
        <w:t xml:space="preserve"> </w:t>
      </w:r>
      <w:r w:rsidRPr="00B95979">
        <w:t>plan proposals that support the city</w:t>
      </w:r>
      <w:r w:rsidR="00CC081D">
        <w:t>’</w:t>
      </w:r>
      <w:r w:rsidRPr="00B95979">
        <w:t>s or county</w:t>
      </w:r>
      <w:r w:rsidR="00CC081D">
        <w:t>’</w:t>
      </w:r>
      <w:r w:rsidRPr="00B95979">
        <w:t xml:space="preserve">s vision for the area. </w:t>
      </w:r>
    </w:p>
    <w:p w14:paraId="3B655887" w14:textId="29DA5A9A" w:rsidR="0076737F" w:rsidRDefault="00CB06EE" w:rsidP="003B4CC5">
      <w:pPr>
        <w:pStyle w:val="BodyText"/>
      </w:pPr>
      <w:r>
        <w:t>California Government Code Section 65450</w:t>
      </w:r>
      <w:r w:rsidR="00B26D59">
        <w:t xml:space="preserve"> gives cities and counties the authority to prepare specific plans for the systematic implementation of general plans.</w:t>
      </w:r>
      <w:r w:rsidR="00F122A6">
        <w:t xml:space="preserve"> Specific </w:t>
      </w:r>
      <w:r w:rsidR="00AD39BA">
        <w:t>p</w:t>
      </w:r>
      <w:r w:rsidR="00F122A6">
        <w:t>lan</w:t>
      </w:r>
      <w:r w:rsidR="00AD39BA">
        <w:t>s</w:t>
      </w:r>
      <w:r w:rsidR="00F122A6">
        <w:t xml:space="preserve"> </w:t>
      </w:r>
      <w:r w:rsidR="00AD39BA">
        <w:t>are</w:t>
      </w:r>
      <w:r w:rsidR="00F122A6">
        <w:t xml:space="preserve"> comprehensive planning and zoning document</w:t>
      </w:r>
      <w:r w:rsidR="00AD39BA">
        <w:t>s</w:t>
      </w:r>
      <w:r w:rsidR="00F122A6">
        <w:t xml:space="preserve"> for a defined geographic region of the</w:t>
      </w:r>
      <w:r w:rsidR="00AD39BA">
        <w:t xml:space="preserve"> </w:t>
      </w:r>
      <w:r w:rsidR="009F7790">
        <w:t>corresponding general plan.</w:t>
      </w:r>
    </w:p>
    <w:p w14:paraId="38D29512" w14:textId="5B364119" w:rsidR="009F7790" w:rsidRPr="00F469FF" w:rsidRDefault="006153B1" w:rsidP="003B4CC5">
      <w:pPr>
        <w:pStyle w:val="BodyText"/>
        <w:rPr>
          <w:spacing w:val="-2"/>
        </w:rPr>
      </w:pPr>
      <w:r w:rsidRPr="00F469FF">
        <w:rPr>
          <w:spacing w:val="-2"/>
        </w:rPr>
        <w:t xml:space="preserve">Wildfire is typically addressed in the </w:t>
      </w:r>
      <w:r w:rsidR="00DA40A2" w:rsidRPr="00F469FF">
        <w:rPr>
          <w:spacing w:val="-2"/>
        </w:rPr>
        <w:t>s</w:t>
      </w:r>
      <w:r w:rsidRPr="00F469FF">
        <w:rPr>
          <w:spacing w:val="-2"/>
        </w:rPr>
        <w:t xml:space="preserve">afety </w:t>
      </w:r>
      <w:r w:rsidR="00DA40A2" w:rsidRPr="00F469FF">
        <w:rPr>
          <w:spacing w:val="-2"/>
        </w:rPr>
        <w:t>e</w:t>
      </w:r>
      <w:r w:rsidRPr="00F469FF">
        <w:rPr>
          <w:spacing w:val="-2"/>
        </w:rPr>
        <w:t xml:space="preserve">lements of </w:t>
      </w:r>
      <w:r w:rsidR="00DA40A2" w:rsidRPr="00F469FF">
        <w:rPr>
          <w:spacing w:val="-2"/>
        </w:rPr>
        <w:t>g</w:t>
      </w:r>
      <w:r w:rsidRPr="00F469FF">
        <w:rPr>
          <w:spacing w:val="-2"/>
        </w:rPr>
        <w:t xml:space="preserve">eneral </w:t>
      </w:r>
      <w:r w:rsidR="00DA40A2" w:rsidRPr="00F469FF">
        <w:rPr>
          <w:spacing w:val="-2"/>
        </w:rPr>
        <w:t>p</w:t>
      </w:r>
      <w:r w:rsidRPr="00F469FF">
        <w:rPr>
          <w:spacing w:val="-2"/>
        </w:rPr>
        <w:t xml:space="preserve">lans and </w:t>
      </w:r>
      <w:r w:rsidR="009F7790" w:rsidRPr="00F469FF">
        <w:rPr>
          <w:spacing w:val="-2"/>
        </w:rPr>
        <w:t xml:space="preserve">California Government Code Section 65302.5 gives the Board the regulatory authority to evaluate </w:t>
      </w:r>
      <w:r w:rsidRPr="00F469FF">
        <w:rPr>
          <w:spacing w:val="-2"/>
        </w:rPr>
        <w:t xml:space="preserve">General Plan Safety Elements </w:t>
      </w:r>
      <w:r w:rsidR="009F7790" w:rsidRPr="00F469FF">
        <w:rPr>
          <w:spacing w:val="-2"/>
        </w:rPr>
        <w:t>for their land use policies in SRA and Very High Fire Hazard Severity Zones</w:t>
      </w:r>
      <w:r w:rsidRPr="00F469FF">
        <w:rPr>
          <w:spacing w:val="-2"/>
        </w:rPr>
        <w:t xml:space="preserve"> (VHFHSZs)</w:t>
      </w:r>
      <w:r w:rsidR="009F7790" w:rsidRPr="00F469FF">
        <w:rPr>
          <w:spacing w:val="-2"/>
        </w:rPr>
        <w:t>, as well as methods and strategies for wildland fire risk reduction and prevention in those areas.</w:t>
      </w:r>
      <w:r w:rsidR="00743E8C" w:rsidRPr="00F469FF">
        <w:rPr>
          <w:spacing w:val="-2"/>
        </w:rPr>
        <w:t xml:space="preserve"> The CAL FIRE Land Use Planning Program engages with city </w:t>
      </w:r>
      <w:r w:rsidR="005D74BC" w:rsidRPr="00F469FF">
        <w:rPr>
          <w:spacing w:val="-2"/>
        </w:rPr>
        <w:t xml:space="preserve">and county </w:t>
      </w:r>
      <w:r w:rsidR="00743E8C" w:rsidRPr="00F469FF">
        <w:rPr>
          <w:spacing w:val="-2"/>
        </w:rPr>
        <w:t xml:space="preserve">planning and development departments to improve comprehensive fire hazard planning </w:t>
      </w:r>
      <w:r w:rsidR="00755B7A" w:rsidRPr="00F469FF">
        <w:rPr>
          <w:spacing w:val="-2"/>
        </w:rPr>
        <w:t>through</w:t>
      </w:r>
      <w:r w:rsidR="00743E8C" w:rsidRPr="00F469FF">
        <w:rPr>
          <w:spacing w:val="-2"/>
        </w:rPr>
        <w:t xml:space="preserve"> </w:t>
      </w:r>
      <w:r w:rsidR="00755B7A" w:rsidRPr="00F469FF">
        <w:rPr>
          <w:spacing w:val="-2"/>
        </w:rPr>
        <w:t xml:space="preserve">general plan safety elements </w:t>
      </w:r>
      <w:r w:rsidR="00743E8C" w:rsidRPr="00F469FF">
        <w:rPr>
          <w:spacing w:val="-2"/>
        </w:rPr>
        <w:t>and other plans. Local governments are responsible for local land use decisions and planning, including permitting structures to be built in the SRA or LRA VHFHSZ</w:t>
      </w:r>
      <w:r w:rsidR="00755B7A" w:rsidRPr="00F469FF">
        <w:rPr>
          <w:spacing w:val="-2"/>
        </w:rPr>
        <w:t>s</w:t>
      </w:r>
      <w:r w:rsidR="00743E8C" w:rsidRPr="00F469FF">
        <w:rPr>
          <w:spacing w:val="-2"/>
        </w:rPr>
        <w:t>.</w:t>
      </w:r>
      <w:r w:rsidR="003D46AF" w:rsidRPr="00F469FF">
        <w:rPr>
          <w:spacing w:val="-2"/>
        </w:rPr>
        <w:t xml:space="preserve"> The most recent assessment of </w:t>
      </w:r>
      <w:r w:rsidR="00FE7057" w:rsidRPr="00F469FF">
        <w:rPr>
          <w:spacing w:val="-2"/>
        </w:rPr>
        <w:t>the</w:t>
      </w:r>
      <w:r w:rsidR="003D46AF" w:rsidRPr="00F469FF">
        <w:rPr>
          <w:spacing w:val="-2"/>
        </w:rPr>
        <w:t xml:space="preserve"> </w:t>
      </w:r>
      <w:r w:rsidR="00755B7A" w:rsidRPr="00F469FF">
        <w:rPr>
          <w:spacing w:val="-2"/>
        </w:rPr>
        <w:t>WUI</w:t>
      </w:r>
      <w:r w:rsidR="003D46AF" w:rsidRPr="00F469FF">
        <w:rPr>
          <w:spacing w:val="-2"/>
        </w:rPr>
        <w:t xml:space="preserve"> shows that as of 2010, there were about 3 million housing units in FHS</w:t>
      </w:r>
      <w:r w:rsidR="00755B7A" w:rsidRPr="00F469FF">
        <w:rPr>
          <w:spacing w:val="-2"/>
        </w:rPr>
        <w:t>Zs</w:t>
      </w:r>
      <w:r w:rsidR="003D46AF" w:rsidRPr="00F469FF">
        <w:rPr>
          <w:spacing w:val="-2"/>
        </w:rPr>
        <w:t xml:space="preserve"> that are at risk from wildland fire</w:t>
      </w:r>
      <w:r w:rsidR="003F5FA4" w:rsidRPr="00F469FF">
        <w:rPr>
          <w:spacing w:val="-2"/>
        </w:rPr>
        <w:t xml:space="preserve"> (Board and CAL FIRE 2018)</w:t>
      </w:r>
      <w:r w:rsidR="003D46AF" w:rsidRPr="00F469FF">
        <w:rPr>
          <w:spacing w:val="-2"/>
        </w:rPr>
        <w:t xml:space="preserve">. </w:t>
      </w:r>
      <w:r w:rsidR="00F02768" w:rsidRPr="00F469FF">
        <w:rPr>
          <w:spacing w:val="-2"/>
        </w:rPr>
        <w:t>A</w:t>
      </w:r>
      <w:r w:rsidR="003D46AF" w:rsidRPr="00F469FF">
        <w:rPr>
          <w:spacing w:val="-2"/>
        </w:rPr>
        <w:t xml:space="preserve"> large proportion of the houses within FHSZ</w:t>
      </w:r>
      <w:r w:rsidR="00FA57D8" w:rsidRPr="00F469FF">
        <w:rPr>
          <w:spacing w:val="-2"/>
        </w:rPr>
        <w:t>s</w:t>
      </w:r>
      <w:r w:rsidR="003D46AF" w:rsidRPr="00F469FF">
        <w:rPr>
          <w:spacing w:val="-2"/>
        </w:rPr>
        <w:t xml:space="preserve"> are in the southern portion of the state. The five counties </w:t>
      </w:r>
      <w:r w:rsidR="00FA57D8" w:rsidRPr="00F469FF">
        <w:rPr>
          <w:spacing w:val="-2"/>
        </w:rPr>
        <w:t>with the most housing units in</w:t>
      </w:r>
      <w:r w:rsidR="003D46AF" w:rsidRPr="00F469FF">
        <w:rPr>
          <w:spacing w:val="-2"/>
        </w:rPr>
        <w:t xml:space="preserve"> FHSZ </w:t>
      </w:r>
      <w:r w:rsidR="00FA57D8" w:rsidRPr="00F469FF">
        <w:rPr>
          <w:spacing w:val="-2"/>
        </w:rPr>
        <w:t>are</w:t>
      </w:r>
      <w:r w:rsidR="003D46AF" w:rsidRPr="00F469FF">
        <w:rPr>
          <w:spacing w:val="-2"/>
        </w:rPr>
        <w:t xml:space="preserve"> all in southern California</w:t>
      </w:r>
      <w:r w:rsidR="00FA57D8" w:rsidRPr="00F469FF">
        <w:rPr>
          <w:spacing w:val="-2"/>
        </w:rPr>
        <w:t xml:space="preserve"> and </w:t>
      </w:r>
      <w:r w:rsidR="003D46AF" w:rsidRPr="00F469FF">
        <w:rPr>
          <w:spacing w:val="-2"/>
        </w:rPr>
        <w:t>contain about half of all statewide housing units in FHSZ. However, with 37 counties</w:t>
      </w:r>
      <w:r w:rsidR="00FA57D8" w:rsidRPr="00F469FF">
        <w:rPr>
          <w:spacing w:val="-2"/>
        </w:rPr>
        <w:t xml:space="preserve"> that</w:t>
      </w:r>
      <w:r w:rsidR="003D46AF" w:rsidRPr="00F469FF">
        <w:rPr>
          <w:spacing w:val="-2"/>
        </w:rPr>
        <w:t xml:space="preserve"> have </w:t>
      </w:r>
      <w:r w:rsidR="004A0672" w:rsidRPr="00F469FF">
        <w:rPr>
          <w:spacing w:val="-2"/>
        </w:rPr>
        <w:t>more than</w:t>
      </w:r>
      <w:r w:rsidR="00FA57D8" w:rsidRPr="00F469FF">
        <w:rPr>
          <w:spacing w:val="-2"/>
        </w:rPr>
        <w:t xml:space="preserve"> </w:t>
      </w:r>
      <w:r w:rsidR="003D46AF" w:rsidRPr="00F469FF">
        <w:rPr>
          <w:spacing w:val="-2"/>
        </w:rPr>
        <w:t>10,000 housing units in</w:t>
      </w:r>
      <w:r w:rsidR="00FA57D8" w:rsidRPr="00F469FF">
        <w:rPr>
          <w:spacing w:val="-2"/>
        </w:rPr>
        <w:t xml:space="preserve"> </w:t>
      </w:r>
      <w:r w:rsidR="003D46AF" w:rsidRPr="00F469FF">
        <w:rPr>
          <w:spacing w:val="-2"/>
        </w:rPr>
        <w:t>FHSZ</w:t>
      </w:r>
      <w:r w:rsidR="00FA57D8" w:rsidRPr="00F469FF">
        <w:rPr>
          <w:spacing w:val="-2"/>
        </w:rPr>
        <w:t>s</w:t>
      </w:r>
      <w:r w:rsidR="00E50EB5" w:rsidRPr="00F469FF">
        <w:rPr>
          <w:spacing w:val="-2"/>
        </w:rPr>
        <w:t>, this is a statewide issue</w:t>
      </w:r>
      <w:r w:rsidR="003D46AF" w:rsidRPr="00F469FF">
        <w:rPr>
          <w:spacing w:val="-2"/>
        </w:rPr>
        <w:t>.</w:t>
      </w:r>
      <w:r w:rsidR="001B01FA" w:rsidRPr="00F469FF">
        <w:rPr>
          <w:spacing w:val="-2"/>
        </w:rPr>
        <w:t xml:space="preserve"> Risk </w:t>
      </w:r>
      <w:r w:rsidR="00FA57D8" w:rsidRPr="00F469FF">
        <w:rPr>
          <w:spacing w:val="-2"/>
        </w:rPr>
        <w:t xml:space="preserve">of </w:t>
      </w:r>
      <w:r w:rsidR="001B01FA" w:rsidRPr="00F469FF">
        <w:rPr>
          <w:spacing w:val="-2"/>
        </w:rPr>
        <w:t xml:space="preserve">wildfire is most acute in the WUI, where </w:t>
      </w:r>
      <w:r w:rsidR="001B01FA" w:rsidRPr="00F469FF">
        <w:rPr>
          <w:spacing w:val="-2"/>
        </w:rPr>
        <w:lastRenderedPageBreak/>
        <w:t>housing losses have increased significantly during the past three decades (Stephens et al. 2009). This problem is expected to grow; modeling scenarios suggest that housing within the highest wildfire hazard severity zone (i.e., very high) will increase from 640,000 to 1.2 million units by the year 2050 (Mann et al. 2014).</w:t>
      </w:r>
    </w:p>
    <w:p w14:paraId="0C032E2E" w14:textId="40C909C3" w:rsidR="00831530" w:rsidRPr="00B95979" w:rsidRDefault="00831530" w:rsidP="00EC65E8">
      <w:pPr>
        <w:pStyle w:val="Heading3"/>
      </w:pPr>
      <w:r w:rsidRPr="00B95979">
        <w:t xml:space="preserve">Habitat Conservation Plans and </w:t>
      </w:r>
      <w:r w:rsidR="004A0672">
        <w:t>Natural Communities Conservation Plans</w:t>
      </w:r>
    </w:p>
    <w:p w14:paraId="710F5E38" w14:textId="7C6A5CD4" w:rsidR="00831530" w:rsidRPr="00B95979" w:rsidRDefault="00831530" w:rsidP="0084342B">
      <w:pPr>
        <w:pStyle w:val="BodyText"/>
      </w:pPr>
      <w:r w:rsidRPr="00B95979">
        <w:t>A habitat conservation plan (HCP) is a long-term agreement between U.S. Fish and Wildlife Service (USFWS) and an applicant (private landowner or non-federal land manager) under Section 10 of the Federal Endangered Species Act (ESA) that allows for the incidental take of federally</w:t>
      </w:r>
      <w:r w:rsidR="00967AD8">
        <w:t>-</w:t>
      </w:r>
      <w:r w:rsidRPr="00B95979">
        <w:t>listed species and their habitats. It describes the anticipated effects of the proposed taking; how those impacts will be minimized or mitigated; and how the HCP implementation is to be funded. HCPs can apply to both listed and non-listed species, including those that are candidates or have been proposed for listing. HCPs may cover large areas or a single project. Many of the large-scale, multispecies HCPs are habitat-based plans that allow development to occur in certain areas, while setting up a coordinated system of protected land reserves that provide a coordinated, landscape-level conservation strategy.</w:t>
      </w:r>
    </w:p>
    <w:p w14:paraId="759E7D6E" w14:textId="4041A571" w:rsidR="00831530" w:rsidRDefault="00831530" w:rsidP="007F5688">
      <w:pPr>
        <w:pStyle w:val="BodyText"/>
      </w:pPr>
      <w:r w:rsidRPr="00B95979">
        <w:t xml:space="preserve">California has implemented its own voluntary multispecies regional approach to wildlife habitat conservation. The California </w:t>
      </w:r>
      <w:r>
        <w:t xml:space="preserve">Natural Communities Conservation </w:t>
      </w:r>
      <w:r w:rsidR="00345BBE">
        <w:t>Planning Act (</w:t>
      </w:r>
      <w:r w:rsidR="00345BBE" w:rsidRPr="00B95979">
        <w:t>NCCP</w:t>
      </w:r>
      <w:r w:rsidR="00345BBE">
        <w:t>A)</w:t>
      </w:r>
      <w:r w:rsidRPr="00B95979">
        <w:t xml:space="preserve">, administered by CDFW, allows for the incidental take of </w:t>
      </w:r>
      <w:r w:rsidR="00E50EB5">
        <w:t>species</w:t>
      </w:r>
      <w:r w:rsidR="00E50EB5" w:rsidRPr="00B95979">
        <w:t xml:space="preserve"> </w:t>
      </w:r>
      <w:r w:rsidRPr="00B95979">
        <w:t xml:space="preserve">listed </w:t>
      </w:r>
      <w:r w:rsidR="00E50EB5">
        <w:t>under the California Endangered Species Act (CESA)</w:t>
      </w:r>
      <w:r w:rsidR="00E50EB5" w:rsidRPr="00B95979">
        <w:t xml:space="preserve"> </w:t>
      </w:r>
      <w:r w:rsidRPr="00B95979">
        <w:t>and their habitats. Within California, joint NCCPs and HCPs are common, because they cover species listed under ESA and CESA and both</w:t>
      </w:r>
      <w:r>
        <w:t xml:space="preserve"> USFWS and CDFW participate in the review and permitting process.</w:t>
      </w:r>
    </w:p>
    <w:p w14:paraId="5C3EE529" w14:textId="3174B518" w:rsidR="00831530" w:rsidRDefault="00831530" w:rsidP="007F5688">
      <w:pPr>
        <w:pStyle w:val="BodyText"/>
      </w:pPr>
      <w:r>
        <w:t xml:space="preserve">An NCCP provides regional protection for plants, animals, and their habitats, while allowing compatible and appropriate economic activity. The NCCP standard goes beyond mitigating for the effects of development to providing for the conservation and management of covered species and habitats in the </w:t>
      </w:r>
      <w:r w:rsidR="007A564C">
        <w:t>state</w:t>
      </w:r>
      <w:r>
        <w:t>. The NCCP approach or similar regional multispecies approaches to conservation planning are essential to conserve habitats and ecosystems at a scale necessary to ensure long-term survival of species.</w:t>
      </w:r>
    </w:p>
    <w:p w14:paraId="7EBF5CB8" w14:textId="071F23F4" w:rsidR="00831530" w:rsidRPr="00240EAC" w:rsidRDefault="009850EB" w:rsidP="007F5688">
      <w:pPr>
        <w:pStyle w:val="BodyText"/>
        <w:rPr>
          <w:highlight w:val="yellow"/>
        </w:rPr>
      </w:pPr>
      <w:r>
        <w:rPr>
          <w:lang w:val="en"/>
        </w:rPr>
        <w:t xml:space="preserve">There are more than 150 HCPs </w:t>
      </w:r>
      <w:r w:rsidR="00116C3C">
        <w:rPr>
          <w:lang w:val="en"/>
        </w:rPr>
        <w:t>(USFWS 2018)</w:t>
      </w:r>
      <w:r w:rsidR="0054484F">
        <w:rPr>
          <w:lang w:val="en"/>
        </w:rPr>
        <w:t>, and</w:t>
      </w:r>
      <w:r>
        <w:rPr>
          <w:lang w:val="en"/>
        </w:rPr>
        <w:t xml:space="preserve"> </w:t>
      </w:r>
      <w:r w:rsidR="009916B4">
        <w:rPr>
          <w:lang w:val="en"/>
        </w:rPr>
        <w:t>14 NCCPs</w:t>
      </w:r>
      <w:r w:rsidR="007753B8">
        <w:rPr>
          <w:lang w:val="en"/>
        </w:rPr>
        <w:t xml:space="preserve"> approved</w:t>
      </w:r>
      <w:r w:rsidR="009826AE">
        <w:rPr>
          <w:lang w:val="en"/>
        </w:rPr>
        <w:t xml:space="preserve"> in California</w:t>
      </w:r>
      <w:r w:rsidR="007753B8">
        <w:rPr>
          <w:lang w:val="en"/>
        </w:rPr>
        <w:t>, and others</w:t>
      </w:r>
      <w:r w:rsidR="009916B4">
        <w:rPr>
          <w:lang w:val="en"/>
        </w:rPr>
        <w:t xml:space="preserve"> in various stages of planning</w:t>
      </w:r>
      <w:r w:rsidR="007753B8">
        <w:rPr>
          <w:lang w:val="en"/>
        </w:rPr>
        <w:t>.</w:t>
      </w:r>
      <w:r w:rsidR="009916B4">
        <w:rPr>
          <w:lang w:val="en"/>
        </w:rPr>
        <w:t xml:space="preserve"> </w:t>
      </w:r>
      <w:r w:rsidR="007753B8">
        <w:rPr>
          <w:lang w:val="en"/>
        </w:rPr>
        <w:t>M</w:t>
      </w:r>
      <w:r w:rsidR="009916B4">
        <w:rPr>
          <w:lang w:val="en"/>
        </w:rPr>
        <w:t xml:space="preserve">ore than 7 million acres </w:t>
      </w:r>
      <w:r w:rsidR="007753B8">
        <w:rPr>
          <w:lang w:val="en"/>
        </w:rPr>
        <w:t>covering</w:t>
      </w:r>
      <w:r w:rsidR="009916B4">
        <w:rPr>
          <w:lang w:val="en"/>
        </w:rPr>
        <w:t xml:space="preserve"> a wide diversity of natural community types throughout California </w:t>
      </w:r>
      <w:r w:rsidR="007753B8">
        <w:rPr>
          <w:lang w:val="en"/>
        </w:rPr>
        <w:t xml:space="preserve">are covered by approved or pending conservation plans </w:t>
      </w:r>
      <w:r w:rsidR="009916B4">
        <w:rPr>
          <w:lang w:val="en"/>
        </w:rPr>
        <w:t>(CDFW 2018).</w:t>
      </w:r>
    </w:p>
    <w:p w14:paraId="0E54EF77" w14:textId="77777777" w:rsidR="00831530" w:rsidRPr="00D745F3" w:rsidRDefault="00831530" w:rsidP="00EC65E8">
      <w:pPr>
        <w:pStyle w:val="Heading3"/>
      </w:pPr>
      <w:r w:rsidRPr="00D745F3">
        <w:t>State Agency Land Use Plans</w:t>
      </w:r>
    </w:p>
    <w:p w14:paraId="6B735C01" w14:textId="6B395BE2" w:rsidR="00831530" w:rsidRDefault="009574B2" w:rsidP="00F16DF0">
      <w:pPr>
        <w:pStyle w:val="BodyText"/>
      </w:pPr>
      <w:r>
        <w:t>There are 18 state agencies that own land within the treatable landscape, with t</w:t>
      </w:r>
      <w:r w:rsidR="00831530">
        <w:t xml:space="preserve">he primary </w:t>
      </w:r>
      <w:r>
        <w:t xml:space="preserve">state landowners being </w:t>
      </w:r>
      <w:r w:rsidR="00831530">
        <w:t>CSP and CDFW. Lands owned by these agencies are managed through various land use plans including CSP general plans and CDFW land management plans.</w:t>
      </w:r>
    </w:p>
    <w:p w14:paraId="439D7FE9" w14:textId="59B4DA4C" w:rsidR="00831530" w:rsidRDefault="00831530" w:rsidP="00F16DF0">
      <w:pPr>
        <w:pStyle w:val="BodyText"/>
      </w:pPr>
      <w:r w:rsidRPr="00327E0A">
        <w:t xml:space="preserve">General Plans prepared for individual CSP units direct the long-range development and management of a park by providing broad policy and program guidance. </w:t>
      </w:r>
      <w:r>
        <w:t xml:space="preserve">CSP manages 280 park units throughout the state. CSP </w:t>
      </w:r>
      <w:r w:rsidRPr="00327E0A">
        <w:t>General Plan</w:t>
      </w:r>
      <w:r>
        <w:t>s</w:t>
      </w:r>
      <w:r w:rsidRPr="00327E0A">
        <w:t xml:space="preserve"> consist of elements that define the proposed land uses, facilities, concessions, operation of the unit, any environmental impacts, management of resources, and </w:t>
      </w:r>
      <w:r w:rsidR="00345BBE" w:rsidRPr="00327E0A">
        <w:t>serve</w:t>
      </w:r>
      <w:r w:rsidRPr="00327E0A">
        <w:t xml:space="preserve"> as a guide for the future development, management, and operation of the unit (PRC Section 5002.2[a]). Park Unit General Plans also consider regional planning influence</w:t>
      </w:r>
      <w:r>
        <w:t>s</w:t>
      </w:r>
      <w:r w:rsidRPr="00327E0A">
        <w:t>. The purpose and requirements for these General Plans and the process for their preparation are outlined in CSP</w:t>
      </w:r>
      <w:r w:rsidR="00CC081D">
        <w:t>’</w:t>
      </w:r>
      <w:r w:rsidRPr="00327E0A">
        <w:t xml:space="preserve">s Planning Handbook </w:t>
      </w:r>
      <w:r w:rsidRPr="006D58FD">
        <w:t>(CSP 2010</w:t>
      </w:r>
      <w:r w:rsidRPr="001F3095">
        <w:t>). T</w:t>
      </w:r>
      <w:r w:rsidRPr="00327E0A">
        <w:t xml:space="preserve">he General Plan is the primary management document for a unit, defining a framework for resource stewardship, interpretation, facilities, visitor use, and operations. General Plans define an ultimate purpose, vision, and intent for unit management through goal statements, guidelines, and broad objectives, but </w:t>
      </w:r>
      <w:r w:rsidR="00484F17">
        <w:t>do not</w:t>
      </w:r>
      <w:r w:rsidRPr="00327E0A">
        <w:t xml:space="preserve"> defin</w:t>
      </w:r>
      <w:r w:rsidR="00484F17">
        <w:t>e</w:t>
      </w:r>
      <w:r w:rsidRPr="00327E0A">
        <w:t xml:space="preserve"> specific objectives, methodologies, designs, and timelines on how and when to accomplish these goals (PRC Section 5002.2). </w:t>
      </w:r>
    </w:p>
    <w:p w14:paraId="6CA9D9A4" w14:textId="4F3584AE" w:rsidR="005549EF" w:rsidRPr="005549EF" w:rsidRDefault="00831530" w:rsidP="00F16DF0">
      <w:pPr>
        <w:pStyle w:val="BodyText"/>
      </w:pPr>
      <w:r w:rsidRPr="008D3D71">
        <w:t>CDFW manages wildlife areas, ecological reserves, and wildlands specifically for the benefit of wildlife and important habitats. In total</w:t>
      </w:r>
      <w:r w:rsidR="00484F17" w:rsidRPr="008D3D71">
        <w:t>,</w:t>
      </w:r>
      <w:r w:rsidRPr="008D3D71">
        <w:t xml:space="preserve"> CDFW manages 749 properties throughout the state. These lands represent or support a cross section of California</w:t>
      </w:r>
      <w:r w:rsidR="00CC081D">
        <w:t>’</w:t>
      </w:r>
      <w:r w:rsidRPr="008D3D71">
        <w:t xml:space="preserve">s diversity of animals, plants, habitat types, and ecosystems. </w:t>
      </w:r>
      <w:r w:rsidR="008D3D71" w:rsidRPr="008D3D71">
        <w:t xml:space="preserve">The </w:t>
      </w:r>
      <w:r w:rsidR="00484F17" w:rsidRPr="008D3D71">
        <w:t xml:space="preserve">management </w:t>
      </w:r>
      <w:r w:rsidR="008D3D71" w:rsidRPr="008D3D71">
        <w:t xml:space="preserve">of CDFW lands are </w:t>
      </w:r>
      <w:r w:rsidR="008D3D71" w:rsidRPr="008D3D71">
        <w:lastRenderedPageBreak/>
        <w:t xml:space="preserve">governed by land management plans, which are prepared to </w:t>
      </w:r>
      <w:r w:rsidR="008D3D71">
        <w:t xml:space="preserve">provide an </w:t>
      </w:r>
      <w:r w:rsidR="008D3D71" w:rsidRPr="008D3D71">
        <w:t>inventory of fish, wildlife, and native plant habitats</w:t>
      </w:r>
      <w:r w:rsidR="008D3D71">
        <w:t xml:space="preserve"> within the unit</w:t>
      </w:r>
      <w:r w:rsidR="00406474">
        <w:t>;</w:t>
      </w:r>
      <w:r w:rsidR="008D3D71">
        <w:t xml:space="preserve"> g</w:t>
      </w:r>
      <w:r w:rsidR="008D3D71" w:rsidRPr="008D3D71">
        <w:t xml:space="preserve">uide management of habitats, species, and programs to achieve </w:t>
      </w:r>
      <w:r w:rsidR="008D3D71">
        <w:t>CDFW</w:t>
      </w:r>
      <w:r w:rsidR="00CC081D">
        <w:t>’</w:t>
      </w:r>
      <w:r w:rsidR="008D3D71">
        <w:t>s</w:t>
      </w:r>
      <w:r w:rsidR="008D3D71" w:rsidRPr="008D3D71">
        <w:t xml:space="preserve"> mission</w:t>
      </w:r>
      <w:r w:rsidR="00406474">
        <w:t>;</w:t>
      </w:r>
      <w:r w:rsidR="008D3D71">
        <w:t xml:space="preserve"> </w:t>
      </w:r>
      <w:r w:rsidR="008D3D71" w:rsidRPr="008D3D71">
        <w:t xml:space="preserve">guide appropriate public uses for that </w:t>
      </w:r>
      <w:r w:rsidR="008D3D71">
        <w:t>unit</w:t>
      </w:r>
      <w:r w:rsidR="00406474">
        <w:t>;</w:t>
      </w:r>
      <w:r w:rsidR="008D3D71">
        <w:t xml:space="preserve"> p</w:t>
      </w:r>
      <w:r w:rsidR="008D3D71" w:rsidRPr="008D3D71">
        <w:t>rovide an overview of the property</w:t>
      </w:r>
      <w:r w:rsidR="00CC081D">
        <w:t>’</w:t>
      </w:r>
      <w:r w:rsidR="008D3D71" w:rsidRPr="008D3D71">
        <w:t>s operation, maintenance, and personnel requirements</w:t>
      </w:r>
      <w:r w:rsidR="00406474">
        <w:t>;</w:t>
      </w:r>
      <w:r w:rsidR="008D3D71">
        <w:t xml:space="preserve"> and comply with state and federal statutes and regulations.</w:t>
      </w:r>
    </w:p>
    <w:p w14:paraId="021886E3" w14:textId="15AA5B9A" w:rsidR="00ED0285" w:rsidRDefault="00ED0285" w:rsidP="00ED0285">
      <w:pPr>
        <w:pStyle w:val="Heading2"/>
      </w:pPr>
      <w:bookmarkStart w:id="11" w:name="_Toc23838583"/>
      <w:r w:rsidRPr="00232D31">
        <w:t>Impact A</w:t>
      </w:r>
      <w:r w:rsidRPr="0086431F">
        <w:t>nalysis</w:t>
      </w:r>
      <w:bookmarkEnd w:id="11"/>
    </w:p>
    <w:p w14:paraId="34579C4C" w14:textId="04A50763" w:rsidR="00EA0B4A" w:rsidRPr="00E8197A" w:rsidRDefault="00EA0B4A" w:rsidP="00D85878">
      <w:pPr>
        <w:pStyle w:val="BodyText"/>
      </w:pPr>
      <w:r w:rsidRPr="00E8197A">
        <w:t>The following sections contain a discussion of the cumulative effects anticipated from implementation of the Cal</w:t>
      </w:r>
      <w:r>
        <w:t>VTP</w:t>
      </w:r>
      <w:r w:rsidRPr="00E8197A">
        <w:t xml:space="preserve">, together with related </w:t>
      </w:r>
      <w:r w:rsidR="00E50EB5">
        <w:t xml:space="preserve">past, present, and </w:t>
      </w:r>
      <w:r w:rsidR="009D0E46">
        <w:t xml:space="preserve">reasonably foreseeable </w:t>
      </w:r>
      <w:r w:rsidR="00E50EB5">
        <w:t xml:space="preserve">probable future </w:t>
      </w:r>
      <w:r w:rsidR="00F223D6">
        <w:t xml:space="preserve">activities, </w:t>
      </w:r>
      <w:r w:rsidR="00A50E61">
        <w:t>projects</w:t>
      </w:r>
      <w:r w:rsidR="00F223D6">
        <w:t>, and plans</w:t>
      </w:r>
      <w:r w:rsidRPr="00E8197A">
        <w:t xml:space="preserve"> within the state, for each of the environmental issue areas evaluated in </w:t>
      </w:r>
      <w:r w:rsidR="00F223D6">
        <w:t xml:space="preserve">Chapter 3 of </w:t>
      </w:r>
      <w:r w:rsidRPr="00E8197A">
        <w:t xml:space="preserve">this PEIR. The analysis conforms with Section 15130(b) of the State CEQA Guidelines, which specifies that the </w:t>
      </w:r>
      <w:r w:rsidR="00CC081D">
        <w:t>“</w:t>
      </w:r>
      <w:r w:rsidRPr="00E8197A">
        <w:t>discussion of cumulative impacts shall reflect the severity of the impacts and their likelihood of occurrence, but the discussion need not provide as great detail as is provided for the effects attributable to the project alone. The discussion should be guided by the standards of practicality and reasonableness, and should focus on the cumulative impact to which the identified other projects contribute rather than the attributes of other projects which do not contribute to the cumulative impact.</w:t>
      </w:r>
      <w:r w:rsidR="00CC081D">
        <w:t>”</w:t>
      </w:r>
      <w:r w:rsidRPr="00E8197A">
        <w:t xml:space="preserve"> </w:t>
      </w:r>
    </w:p>
    <w:p w14:paraId="2013E973" w14:textId="39D80E4F" w:rsidR="00EA0B4A" w:rsidRDefault="00EA0B4A" w:rsidP="00D85878">
      <w:pPr>
        <w:pStyle w:val="BodyText"/>
      </w:pPr>
      <w:r w:rsidRPr="00E8197A">
        <w:t>When considered in relation to other reasonably foreseeable projects, cumulative impacts to some resources would be significant and more severe than those caused by the proposed project alone.</w:t>
      </w:r>
    </w:p>
    <w:p w14:paraId="29A6674F" w14:textId="109D0B52" w:rsidR="00E72A00" w:rsidRPr="009B083C" w:rsidRDefault="00E72A00" w:rsidP="00D85878">
      <w:pPr>
        <w:pStyle w:val="BodyText"/>
      </w:pPr>
      <w:r w:rsidRPr="009B083C">
        <w:t>For purposes of this PEIR, the incremental effect of the project would be cumulatively considerable, and thus significant in and of itself, if</w:t>
      </w:r>
      <w:r w:rsidR="009B083C">
        <w:t xml:space="preserve"> </w:t>
      </w:r>
      <w:r w:rsidRPr="009B083C">
        <w:t>the cumulative effect of related activities (past, current, and probable future activities), together with the effect of the proposed project, are significant, and the incremental contribution of the project to these effects is substantial enough to be considered cumulatively considerable and thus significant in and of itself.</w:t>
      </w:r>
    </w:p>
    <w:p w14:paraId="30A9CEB5" w14:textId="70C7EB26" w:rsidR="00E72A00" w:rsidRPr="00E8197A" w:rsidRDefault="00E72A00" w:rsidP="00D85878">
      <w:pPr>
        <w:pStyle w:val="BodyText"/>
      </w:pPr>
      <w:r w:rsidRPr="009B083C">
        <w:t>Such an outcome can occur in one of two ways. First, the cumulative effect of related activities (past, current, and probable future activities) without the project is not significant, but the incremental effect of the project, when added to the cumulative effect of the related projects, is substantial enough to result in a new cumulatively significant impact. Or second, the cumulative effect of related activities (past, current, and probable future activities) is already significant and the addition of the effect of the project is substantial enough to make the project</w:t>
      </w:r>
      <w:r w:rsidR="00CC081D">
        <w:t>’</w:t>
      </w:r>
      <w:r w:rsidRPr="009B083C">
        <w:t>s contribution cumulatively considerable and thus significant in and of itself.</w:t>
      </w:r>
    </w:p>
    <w:p w14:paraId="51109D39" w14:textId="2CDCE4F1" w:rsidR="00ED0285" w:rsidRPr="00ED0285" w:rsidRDefault="00345BBE" w:rsidP="00D85878">
      <w:pPr>
        <w:pStyle w:val="BodyText"/>
      </w:pPr>
      <w:bookmarkStart w:id="12" w:name="_Hlk6833589"/>
      <w:r w:rsidRPr="00E8197A">
        <w:t>This cumulative analysis</w:t>
      </w:r>
      <w:r>
        <w:t xml:space="preserve"> employs a multi-step approach: (</w:t>
      </w:r>
      <w:proofErr w:type="spellStart"/>
      <w:r>
        <w:t>i</w:t>
      </w:r>
      <w:proofErr w:type="spellEnd"/>
      <w:r>
        <w:t xml:space="preserve">) </w:t>
      </w:r>
      <w:r w:rsidR="004A0DEE">
        <w:t>assesses whether the project, together with past, present, and probable future projects, will cause significant cumulative impacts</w:t>
      </w:r>
      <w:r w:rsidR="00A912A0">
        <w:t>,</w:t>
      </w:r>
      <w:r w:rsidR="004A0DEE">
        <w:t xml:space="preserve"> </w:t>
      </w:r>
      <w:r w:rsidR="00A912A0">
        <w:t xml:space="preserve">(ii) </w:t>
      </w:r>
      <w:r>
        <w:t>identify the project</w:t>
      </w:r>
      <w:r w:rsidR="00CC081D">
        <w:t>’</w:t>
      </w:r>
      <w:r>
        <w:t>s contribution, without mitigation,</w:t>
      </w:r>
      <w:r w:rsidRPr="00E72A00">
        <w:t xml:space="preserve"> </w:t>
      </w:r>
      <w:r>
        <w:t>to existing/anticipated (without the project) cumulative effects, (ii</w:t>
      </w:r>
      <w:r w:rsidR="00A912A0">
        <w:t>i</w:t>
      </w:r>
      <w:r>
        <w:t>) determine whether, even with mitigation, the project</w:t>
      </w:r>
      <w:r w:rsidR="00CC081D">
        <w:t>’</w:t>
      </w:r>
      <w:r>
        <w:t>s incremental contribution would be cumulatively considerable, (i</w:t>
      </w:r>
      <w:r w:rsidR="00A912A0">
        <w:t>v</w:t>
      </w:r>
      <w:r>
        <w:t>) if the answer is yes, to identify any additional potentially feasible mitigation that may be available, and (v) to identify the impact significance conclusion after implementation of all (project-specific and any additional) potentially feasible mitigation.</w:t>
      </w:r>
      <w:bookmarkEnd w:id="12"/>
      <w:r w:rsidR="00CC081D">
        <w:t xml:space="preserve"> </w:t>
      </w:r>
    </w:p>
    <w:p w14:paraId="01FB58D5" w14:textId="28F09AB0" w:rsidR="00ED0285" w:rsidRDefault="00ED0285" w:rsidP="00ED0285">
      <w:pPr>
        <w:pStyle w:val="Heading3"/>
      </w:pPr>
      <w:r w:rsidRPr="007C2DEB">
        <w:t>Aesthetics and Visual Resources</w:t>
      </w:r>
    </w:p>
    <w:p w14:paraId="002D3447" w14:textId="0761FD34" w:rsidR="008F5A54" w:rsidRDefault="008F5A54" w:rsidP="00D85878">
      <w:pPr>
        <w:pStyle w:val="BodyText"/>
      </w:pPr>
      <w:r>
        <w:t>The geographic scope of the aesthetic and visual resource cumulative impact analysis is the treatable landscape and surrounding areas with public views of the treatable landscape. For the purposes of this analysis, the cumulative analysis would generally be based on the viewshed of the treatable landscape, which may vary in distance, as determined by surrounding topography and landscape features that may limit visibility.</w:t>
      </w:r>
      <w:r w:rsidR="00CC081D">
        <w:t xml:space="preserve"> </w:t>
      </w:r>
    </w:p>
    <w:p w14:paraId="613B42AF" w14:textId="382D5BD3" w:rsidR="008F5A54" w:rsidRDefault="008F5A54" w:rsidP="00D85878">
      <w:pPr>
        <w:pStyle w:val="BodyText"/>
      </w:pPr>
      <w:r>
        <w:t>As discussed in Section 4.</w:t>
      </w:r>
      <w:r w:rsidR="007C75FD">
        <w:t>3</w:t>
      </w:r>
      <w:r>
        <w:t xml:space="preserve">, </w:t>
      </w:r>
      <w:r w:rsidR="00CC081D">
        <w:t>“</w:t>
      </w:r>
      <w:r>
        <w:t>Related Project and Plans,</w:t>
      </w:r>
      <w:r w:rsidR="00CC081D">
        <w:t>”</w:t>
      </w:r>
      <w:r>
        <w:t xml:space="preserve"> above, there are several similar </w:t>
      </w:r>
      <w:proofErr w:type="gramStart"/>
      <w:r>
        <w:t>past</w:t>
      </w:r>
      <w:proofErr w:type="gramEnd"/>
      <w:r>
        <w:t>, present, and reasonably foreseeable projects that have affected and likely will affect vegetation, and thus aesthetics and visual resources, within and surrounding the treatable landscape. Examples of related projects and plans that could combine to result in significant cumulative impacts are past land management practices that emphasize fire suppression, implementation of CAL FIRE</w:t>
      </w:r>
      <w:r w:rsidR="00CC081D">
        <w:t>’</w:t>
      </w:r>
      <w:r>
        <w:t xml:space="preserve">s VMP, timber harvesting, and vegetation and fuels treatment programs implemented outside of the SRA. </w:t>
      </w:r>
    </w:p>
    <w:p w14:paraId="397A2AF0" w14:textId="3F288B9D" w:rsidR="008F5A54" w:rsidRDefault="008F5A54" w:rsidP="00D85878">
      <w:pPr>
        <w:pStyle w:val="BodyText"/>
      </w:pPr>
      <w:r>
        <w:t xml:space="preserve">Some of the </w:t>
      </w:r>
      <w:r w:rsidRPr="00546C0D">
        <w:t xml:space="preserve">other past, present, and </w:t>
      </w:r>
      <w:r>
        <w:t>reasonably foreseeable</w:t>
      </w:r>
      <w:r w:rsidRPr="00546C0D">
        <w:t xml:space="preserve"> projects identified in Section 4.</w:t>
      </w:r>
      <w:r w:rsidR="007C75FD">
        <w:t>3</w:t>
      </w:r>
      <w:r w:rsidRPr="00546C0D">
        <w:t xml:space="preserve">, </w:t>
      </w:r>
      <w:r w:rsidR="00CC081D">
        <w:t>“</w:t>
      </w:r>
      <w:r w:rsidRPr="00546C0D">
        <w:t>Related Projects and Plans</w:t>
      </w:r>
      <w:r>
        <w:t>,</w:t>
      </w:r>
      <w:r w:rsidR="00CC081D">
        <w:t>”</w:t>
      </w:r>
      <w:r>
        <w:t xml:space="preserve"> combined with the proposed CalVTP activities, would result in a significant cumulative visual resources impact, </w:t>
      </w:r>
      <w:r>
        <w:lastRenderedPageBreak/>
        <w:t xml:space="preserve">because some types of forest management projects can create lasting visible changes on the landscape, such as with commercial timber harvest. Consequently, the cumulative visual impact of harvest and treatment activities would be significant to the extent they are visible from public viewpoints. </w:t>
      </w:r>
    </w:p>
    <w:p w14:paraId="1ECE089D" w14:textId="3088E6C4" w:rsidR="008F5A54" w:rsidRDefault="008F5A54" w:rsidP="0084342B">
      <w:pPr>
        <w:pStyle w:val="BodyText"/>
        <w:keepLines/>
        <w:spacing w:line="260" w:lineRule="exact"/>
      </w:pPr>
      <w:r>
        <w:t xml:space="preserve">Vegetation treatment programs implemented for CalVTP would create temporary visual impacts during implementation but would create less-than-considerable contributions to cumulative impact conditions, in part because of their temporary nature and </w:t>
      </w:r>
      <w:r w:rsidR="00A82194">
        <w:t>implementation</w:t>
      </w:r>
      <w:r>
        <w:t xml:space="preserve"> of SPRs. As described in Impact AES-1, v</w:t>
      </w:r>
      <w:r w:rsidRPr="00431D56">
        <w:t>arying degrees of temporary degradation of public views would result during active implementation of treatment activities under the proposed CalVTP. However, because of the temporary and intermittent nature of treatment activities,</w:t>
      </w:r>
      <w:r>
        <w:t xml:space="preserve"> and implementation of SPRs requiring staging of </w:t>
      </w:r>
      <w:r w:rsidRPr="00431D56">
        <w:t xml:space="preserve">all treatment-related materials, including vehicles, vegetation treatment debris, and equipment, outside of </w:t>
      </w:r>
      <w:r>
        <w:t>public</w:t>
      </w:r>
      <w:r w:rsidRPr="00431D56">
        <w:t xml:space="preserve"> viewshed</w:t>
      </w:r>
      <w:r>
        <w:t xml:space="preserve">s (SPR AES-2); and </w:t>
      </w:r>
      <w:r w:rsidRPr="00546C0D">
        <w:t>prepar</w:t>
      </w:r>
      <w:r>
        <w:t>ation of</w:t>
      </w:r>
      <w:r w:rsidRPr="00546C0D">
        <w:t xml:space="preserve"> and adher</w:t>
      </w:r>
      <w:r>
        <w:t>ence</w:t>
      </w:r>
      <w:r w:rsidRPr="00546C0D">
        <w:t xml:space="preserve"> to a Smoke Management Plan (SMP) (SPR AQ-2) and a Burn Plan (SPR AQ-3)</w:t>
      </w:r>
      <w:r>
        <w:t>,</w:t>
      </w:r>
      <w:r w:rsidRPr="00546C0D">
        <w:t xml:space="preserve"> which </w:t>
      </w:r>
      <w:r w:rsidR="00A82194">
        <w:t>describe</w:t>
      </w:r>
      <w:r w:rsidR="00A82194" w:rsidRPr="00546C0D">
        <w:t xml:space="preserve"> </w:t>
      </w:r>
      <w:r w:rsidRPr="00546C0D">
        <w:t>the conditions under which prescribed burning can occur to reduce the generation and visibility of smoke</w:t>
      </w:r>
      <w:r>
        <w:t>; short-term degradation would not be substantial and t</w:t>
      </w:r>
      <w:r w:rsidRPr="00546C0D">
        <w:t xml:space="preserve">he </w:t>
      </w:r>
      <w:r>
        <w:t>CalVTP</w:t>
      </w:r>
      <w:r w:rsidR="00CC081D">
        <w:t>’</w:t>
      </w:r>
      <w:r>
        <w:t xml:space="preserve">s contribution to short-term visual impacts from implementation of treatment activities </w:t>
      </w:r>
      <w:r w:rsidRPr="00AC5EB8">
        <w:rPr>
          <w:b/>
        </w:rPr>
        <w:t>would not be cumulatively considerable</w:t>
      </w:r>
      <w:r>
        <w:t>.</w:t>
      </w:r>
      <w:r w:rsidRPr="00546C0D">
        <w:t xml:space="preserve"> </w:t>
      </w:r>
    </w:p>
    <w:p w14:paraId="612D3730" w14:textId="16D1B4CB" w:rsidR="008F5A54" w:rsidRDefault="008F5A54" w:rsidP="0084342B">
      <w:pPr>
        <w:pStyle w:val="BodyText"/>
        <w:spacing w:line="260" w:lineRule="exact"/>
      </w:pPr>
      <w:r>
        <w:t>As described in Impact AES-2, l</w:t>
      </w:r>
      <w:r w:rsidRPr="009D773D">
        <w:t>ong-term effects to aesthetics would occur from implementing WUI fuel reduction, ecological restoration, and shaded fuel break treatment types in the treatable landscape</w:t>
      </w:r>
      <w:r>
        <w:t>. Impacts would primarily result from p</w:t>
      </w:r>
      <w:r w:rsidRPr="009D773D">
        <w:t>rescribed burning in the grass fuel type</w:t>
      </w:r>
      <w:r>
        <w:t xml:space="preserve">, as ecological restoration would result in beneficial impacts to views and visual quality, and WUI fuel reduction </w:t>
      </w:r>
      <w:r w:rsidRPr="008F09CA">
        <w:t>would not be significantly noticeable</w:t>
      </w:r>
      <w:r>
        <w:t xml:space="preserve"> because vegetation would remain</w:t>
      </w:r>
      <w:r w:rsidRPr="008F09CA">
        <w:t xml:space="preserve"> and could aid in the visual transition from wildlands to urban environment.</w:t>
      </w:r>
      <w:r>
        <w:t xml:space="preserve"> Because </w:t>
      </w:r>
      <w:r w:rsidRPr="009A6146">
        <w:t>regeneration of grasses would be occurring at various stages post burning, the visual effects of burning would be temporary, and large expanses of blackened landscape would likely not be visible simultaneously</w:t>
      </w:r>
      <w:r>
        <w:t>. Furthermore, w</w:t>
      </w:r>
      <w:r w:rsidRPr="009D773D">
        <w:t xml:space="preserve">ildfire and prescribed burning currently occur </w:t>
      </w:r>
      <w:r>
        <w:t>within</w:t>
      </w:r>
      <w:r w:rsidRPr="009D773D">
        <w:t xml:space="preserve"> the treatable landscape,</w:t>
      </w:r>
      <w:r>
        <w:t xml:space="preserve"> and</w:t>
      </w:r>
      <w:r w:rsidRPr="009D773D">
        <w:t xml:space="preserve"> SPR AD-</w:t>
      </w:r>
      <w:r w:rsidR="00A82194">
        <w:t>4</w:t>
      </w:r>
      <w:r w:rsidRPr="009D773D">
        <w:t xml:space="preserve"> and SPR REC-1 would be incorporated into prescribed burning </w:t>
      </w:r>
      <w:r w:rsidR="00D142AF">
        <w:t xml:space="preserve">treatments </w:t>
      </w:r>
      <w:r>
        <w:t>to minimize viewer exposure by</w:t>
      </w:r>
      <w:r w:rsidRPr="009D773D">
        <w:t xml:space="preserve"> notifying the public </w:t>
      </w:r>
      <w:r>
        <w:t>before</w:t>
      </w:r>
      <w:r w:rsidRPr="009D773D">
        <w:t xml:space="preserve"> burning</w:t>
      </w:r>
      <w:r>
        <w:t>. Therefore,</w:t>
      </w:r>
      <w:r w:rsidRPr="009A6146">
        <w:t xml:space="preserve"> </w:t>
      </w:r>
      <w:r>
        <w:t>long</w:t>
      </w:r>
      <w:r w:rsidRPr="009A6146">
        <w:t>-term degradation would not be substantial and the CalVTP</w:t>
      </w:r>
      <w:r w:rsidR="00CC081D">
        <w:t>’</w:t>
      </w:r>
      <w:r w:rsidRPr="009A6146">
        <w:t xml:space="preserve">s contribution to </w:t>
      </w:r>
      <w:r>
        <w:t>long</w:t>
      </w:r>
      <w:r w:rsidRPr="009A6146">
        <w:t xml:space="preserve">-term visual impacts from implementation of treatment activities </w:t>
      </w:r>
      <w:r w:rsidRPr="00AC5EB8">
        <w:rPr>
          <w:b/>
        </w:rPr>
        <w:t>would not be cumulatively considerable</w:t>
      </w:r>
      <w:r w:rsidRPr="009A6146">
        <w:t xml:space="preserve">. </w:t>
      </w:r>
    </w:p>
    <w:p w14:paraId="1EAB2992" w14:textId="159E32AB" w:rsidR="008F5A54" w:rsidRDefault="008F5A54" w:rsidP="0084342B">
      <w:pPr>
        <w:pStyle w:val="BodyText"/>
        <w:spacing w:line="260" w:lineRule="exact"/>
      </w:pPr>
      <w:r>
        <w:t>Implementation of non-shaded fuel breaks would contribute considerably to cumulative visual impacts. N</w:t>
      </w:r>
      <w:r w:rsidRPr="009B2299">
        <w:t>on-shaded fuel breaks</w:t>
      </w:r>
      <w:r>
        <w:t xml:space="preserve"> </w:t>
      </w:r>
      <w:r w:rsidRPr="009B2299">
        <w:t xml:space="preserve">remove all vegetation, </w:t>
      </w:r>
      <w:r>
        <w:t>which</w:t>
      </w:r>
      <w:r w:rsidRPr="009B2299">
        <w:t xml:space="preserve"> could </w:t>
      </w:r>
      <w:r>
        <w:t>lead to</w:t>
      </w:r>
      <w:r w:rsidRPr="009B2299">
        <w:t xml:space="preserve"> a long-term adverse </w:t>
      </w:r>
      <w:r>
        <w:t>c</w:t>
      </w:r>
      <w:r w:rsidRPr="009B2299">
        <w:t>hange in the landscape by resulting in a contrasting linear element in an otherwise natural environment.</w:t>
      </w:r>
      <w:r>
        <w:t xml:space="preserve"> As described in Impact AES-3, implementing Mitigation Measure AES-3 may reduce the visual impact</w:t>
      </w:r>
      <w:r w:rsidR="00A82194">
        <w:t xml:space="preserve"> as</w:t>
      </w:r>
      <w:r>
        <w:t xml:space="preserve"> it requires</w:t>
      </w:r>
      <w:r w:rsidRPr="00624CE5">
        <w:t xml:space="preserve"> a visual reconnaissance of</w:t>
      </w:r>
      <w:r>
        <w:t xml:space="preserve"> proposed</w:t>
      </w:r>
      <w:r w:rsidRPr="00624CE5">
        <w:t xml:space="preserve"> treatment area</w:t>
      </w:r>
      <w:r>
        <w:t>s</w:t>
      </w:r>
      <w:r w:rsidRPr="00624CE5">
        <w:t xml:space="preserve"> to observe the surrounding landscape and determine if public viewing locations, including </w:t>
      </w:r>
      <w:r>
        <w:t xml:space="preserve">heavily trafficked </w:t>
      </w:r>
      <w:r w:rsidRPr="00624CE5">
        <w:t>scenic vistas</w:t>
      </w:r>
      <w:r>
        <w:t>, recreation areas and trails,</w:t>
      </w:r>
      <w:r w:rsidRPr="00624CE5">
        <w:t xml:space="preserve"> and state scenic highways, have views of the proposed treatment area. If none are identified, the non-shaded fuel break</w:t>
      </w:r>
      <w:r>
        <w:t xml:space="preserve"> would</w:t>
      </w:r>
      <w:r w:rsidRPr="00624CE5">
        <w:t xml:space="preserve"> be implemented without </w:t>
      </w:r>
      <w:r>
        <w:t xml:space="preserve">additional </w:t>
      </w:r>
      <w:r w:rsidRPr="00624CE5">
        <w:t>visual mitigation</w:t>
      </w:r>
      <w:r>
        <w:t>. If the project proponent identifies public viewing points, including scenic vistas, recreation areas and trails, and state scenic highways with lengthy views (i.e., more than a few seconds) of a proposed non-shaded fuel break treatment area, the project proponent would modify the location of the fuel break to reduce its visibility from public viewpoints while achieving the wildfire risk reduction objectives of the fuel break, if feasible. If other feasible locations do not exist that would reduce impacts to public viewers and achieve the intended wildfire risk reduction requirements of the fuel break, the project proponent would also evaluate if implementing a shaded fuel break rather than a non-shaded fuel break would be feasible.</w:t>
      </w:r>
      <w:r w:rsidRPr="0054534E">
        <w:t xml:space="preserve"> </w:t>
      </w:r>
      <w:r>
        <w:t>B</w:t>
      </w:r>
      <w:r w:rsidRPr="0054534E">
        <w:t>ecause of the strategic nature of non-shaded fuel break siting, it may be infeasible to relocate a non-shaded fuel break to avoid public visibility</w:t>
      </w:r>
      <w:r>
        <w:t xml:space="preserve"> and still maintain its wildfire risk reduction purpose.</w:t>
      </w:r>
      <w:r w:rsidRPr="0054534E">
        <w:t xml:space="preserve"> Further, converting a planned non-shaded fuel break to a shaded fuel break may </w:t>
      </w:r>
      <w:r>
        <w:t xml:space="preserve">be infeasible because a shaded fuel break would </w:t>
      </w:r>
      <w:r w:rsidRPr="0054534E">
        <w:t xml:space="preserve">not achieve the objectives of the fuel break. </w:t>
      </w:r>
      <w:r w:rsidR="00504298">
        <w:t>I</w:t>
      </w:r>
      <w:r>
        <w:t xml:space="preserve">f </w:t>
      </w:r>
      <w:r w:rsidRPr="0054534E">
        <w:t>Mitigation Measure AES-3</w:t>
      </w:r>
      <w:r>
        <w:t xml:space="preserve"> would not resolve the visual impact, </w:t>
      </w:r>
      <w:r w:rsidRPr="0054534E">
        <w:t xml:space="preserve">the </w:t>
      </w:r>
      <w:r>
        <w:t>CalVTP</w:t>
      </w:r>
      <w:r w:rsidR="00CC081D">
        <w:t>’</w:t>
      </w:r>
      <w:r>
        <w:t>s contribution to this impact would be cumulatively considerable.</w:t>
      </w:r>
      <w:r w:rsidR="00504298">
        <w:t xml:space="preserve"> </w:t>
      </w:r>
      <w:r w:rsidR="00504298" w:rsidRPr="00504298">
        <w:t xml:space="preserve">Therefore, the </w:t>
      </w:r>
      <w:r w:rsidR="00504298">
        <w:t>CalVTP</w:t>
      </w:r>
      <w:r w:rsidR="00CC081D">
        <w:t>’</w:t>
      </w:r>
      <w:r w:rsidR="00F476D3">
        <w:t>s contribution</w:t>
      </w:r>
      <w:r w:rsidR="00504298">
        <w:t xml:space="preserve"> </w:t>
      </w:r>
      <w:r w:rsidR="001672A2">
        <w:t xml:space="preserve">to a </w:t>
      </w:r>
      <w:r w:rsidR="001672A2" w:rsidRPr="00504298">
        <w:t xml:space="preserve">cumulative </w:t>
      </w:r>
      <w:r w:rsidR="001672A2">
        <w:t>v</w:t>
      </w:r>
      <w:r w:rsidR="001672A2" w:rsidRPr="00504298">
        <w:t xml:space="preserve">isual </w:t>
      </w:r>
      <w:r w:rsidR="001672A2">
        <w:t>impact</w:t>
      </w:r>
      <w:r w:rsidR="001672A2" w:rsidRPr="00F476D3">
        <w:rPr>
          <w:b/>
        </w:rPr>
        <w:t xml:space="preserve"> </w:t>
      </w:r>
      <w:r w:rsidR="00504298" w:rsidRPr="00AC5EB8">
        <w:rPr>
          <w:b/>
        </w:rPr>
        <w:t xml:space="preserve">would </w:t>
      </w:r>
      <w:r w:rsidR="00430C30">
        <w:rPr>
          <w:b/>
        </w:rPr>
        <w:t>remain</w:t>
      </w:r>
      <w:r w:rsidR="001672A2">
        <w:rPr>
          <w:b/>
        </w:rPr>
        <w:t xml:space="preserve"> cumulatively </w:t>
      </w:r>
      <w:r w:rsidR="00504298" w:rsidRPr="00504298">
        <w:rPr>
          <w:b/>
        </w:rPr>
        <w:t>considerable</w:t>
      </w:r>
      <w:r w:rsidR="00504298" w:rsidRPr="00504298">
        <w:t>.</w:t>
      </w:r>
    </w:p>
    <w:p w14:paraId="228B96DC" w14:textId="2D962C19" w:rsidR="00ED0285" w:rsidRDefault="00ED0285" w:rsidP="00ED0285">
      <w:pPr>
        <w:pStyle w:val="Heading3"/>
      </w:pPr>
      <w:r w:rsidRPr="007C2DEB">
        <w:t>Agriculture and Forestry Resources</w:t>
      </w:r>
    </w:p>
    <w:p w14:paraId="111DA582" w14:textId="77777777" w:rsidR="004B011B" w:rsidRDefault="004B011B" w:rsidP="0084342B">
      <w:pPr>
        <w:pStyle w:val="BodyText"/>
        <w:spacing w:line="260" w:lineRule="exact"/>
      </w:pPr>
      <w:r>
        <w:t xml:space="preserve">The geographic scope for agricultural and forestry resources is the treatable landscape. The scale and type of development within California is typically regulated by cities and counties through adopted long-range plans and zoning ordinances. However, population growth has contributed to the development of forest and farmland with </w:t>
      </w:r>
      <w:r>
        <w:lastRenderedPageBreak/>
        <w:t>urban uses. On average, about 40,000 acres of agricultural land is converted to a non-agricultural use in California. (</w:t>
      </w:r>
      <w:bookmarkStart w:id="13" w:name="_Hlk8226940"/>
      <w:r>
        <w:t>American Farmland Trust 2009</w:t>
      </w:r>
      <w:bookmarkEnd w:id="13"/>
      <w:r>
        <w:t>). In addition, urbanization and development activities in rural areas result in the conversion of forest land to residential land uses and/or supporting land uses. Population growth and development have resulted in an existing cumulative impact with respect to agricultural and forestry resources.</w:t>
      </w:r>
    </w:p>
    <w:p w14:paraId="75268050" w14:textId="3BA09B52" w:rsidR="00ED0285" w:rsidRPr="00ED0285" w:rsidRDefault="004B011B" w:rsidP="00A85731">
      <w:pPr>
        <w:pStyle w:val="BodyText"/>
      </w:pPr>
      <w:r w:rsidRPr="009B64FC">
        <w:t>Implementation of the CalVTP would consist of vegetation treatment activities that would modify portions of the treatable landscape and would not involve the development of residential communities or other similar types of development or induce substantial population growt</w:t>
      </w:r>
      <w:r>
        <w:t>h. As discussed in Impact AG-1, the CalVTP would not result in the loss of forest land or conversion of forest land to a non-forest use.</w:t>
      </w:r>
      <w:r w:rsidRPr="00466056">
        <w:t xml:space="preserve"> </w:t>
      </w:r>
      <w:r>
        <w:t>Although, treatment activities would alter forest land through vegetation removal, the activities would be temporary and once complete the area would remain undeveloped. Therefore, the proposed CalVTP</w:t>
      </w:r>
      <w:r w:rsidR="00CC081D">
        <w:t>’</w:t>
      </w:r>
      <w:r>
        <w:t xml:space="preserve">s contribution to the loss of forest land or conversion of forest land to a non-forest use, </w:t>
      </w:r>
      <w:r w:rsidRPr="00504298">
        <w:rPr>
          <w:b/>
        </w:rPr>
        <w:t>would not be cumulatively considerable</w:t>
      </w:r>
      <w:r>
        <w:t xml:space="preserve">. </w:t>
      </w:r>
    </w:p>
    <w:p w14:paraId="6027383A" w14:textId="611576F8" w:rsidR="00ED0285" w:rsidRDefault="00ED0285" w:rsidP="00ED0285">
      <w:pPr>
        <w:pStyle w:val="Heading3"/>
      </w:pPr>
      <w:r w:rsidRPr="007C2DEB">
        <w:t>Air Quality</w:t>
      </w:r>
    </w:p>
    <w:p w14:paraId="1749BD7A" w14:textId="25444615" w:rsidR="007A1DDE" w:rsidRDefault="001672A2" w:rsidP="00A85731">
      <w:pPr>
        <w:pStyle w:val="BodyText"/>
      </w:pPr>
      <w:bookmarkStart w:id="14" w:name="_Hlk6946992"/>
      <w:r>
        <w:t xml:space="preserve">The geographic scope for </w:t>
      </w:r>
      <w:r w:rsidR="00B1095B" w:rsidRPr="000A4E0E">
        <w:rPr>
          <w:u w:val="single"/>
        </w:rPr>
        <w:t xml:space="preserve">regional </w:t>
      </w:r>
      <w:r>
        <w:t xml:space="preserve">air quality is </w:t>
      </w:r>
      <w:r w:rsidR="00B928C0" w:rsidRPr="000A4E0E">
        <w:rPr>
          <w:u w:val="single"/>
        </w:rPr>
        <w:t xml:space="preserve">generally </w:t>
      </w:r>
      <w:r w:rsidR="00B1095B" w:rsidRPr="000A4E0E">
        <w:rPr>
          <w:u w:val="single"/>
        </w:rPr>
        <w:t xml:space="preserve">an </w:t>
      </w:r>
      <w:r>
        <w:t>air basin</w:t>
      </w:r>
      <w:r w:rsidRPr="000A4E0E">
        <w:rPr>
          <w:strike/>
        </w:rPr>
        <w:t>s</w:t>
      </w:r>
      <w:r w:rsidR="00B1095B" w:rsidRPr="000A4E0E">
        <w:rPr>
          <w:u w:val="single"/>
        </w:rPr>
        <w:t xml:space="preserve">. California is divided into 15 air basins to better manage </w:t>
      </w:r>
      <w:r w:rsidR="00C54D76" w:rsidRPr="000A4E0E">
        <w:rPr>
          <w:u w:val="single"/>
        </w:rPr>
        <w:t xml:space="preserve">regional </w:t>
      </w:r>
      <w:r w:rsidR="00B1095B" w:rsidRPr="000A4E0E">
        <w:rPr>
          <w:u w:val="single"/>
        </w:rPr>
        <w:t>air pollution. Air basin boundaries were determined by grouping together areas with similar geographical and meteorological features. Political boundaries</w:t>
      </w:r>
      <w:r w:rsidR="00C54D76" w:rsidRPr="000A4E0E">
        <w:rPr>
          <w:u w:val="single"/>
        </w:rPr>
        <w:t xml:space="preserve"> (e.g., county lines)</w:t>
      </w:r>
      <w:r w:rsidR="00B1095B" w:rsidRPr="000A4E0E">
        <w:rPr>
          <w:u w:val="single"/>
        </w:rPr>
        <w:t xml:space="preserve"> were also considered in determining the air basin boundaries. </w:t>
      </w:r>
      <w:r w:rsidR="00C54D76" w:rsidRPr="000A4E0E">
        <w:rPr>
          <w:u w:val="single"/>
        </w:rPr>
        <w:t>S</w:t>
      </w:r>
      <w:r w:rsidR="00B1095B" w:rsidRPr="000A4E0E">
        <w:rPr>
          <w:u w:val="single"/>
        </w:rPr>
        <w:t xml:space="preserve">ome air basins </w:t>
      </w:r>
      <w:r w:rsidR="00C54D76" w:rsidRPr="000A4E0E">
        <w:rPr>
          <w:u w:val="single"/>
        </w:rPr>
        <w:t>resemble</w:t>
      </w:r>
      <w:r w:rsidR="00B1095B" w:rsidRPr="000A4E0E">
        <w:rPr>
          <w:u w:val="single"/>
        </w:rPr>
        <w:t xml:space="preserve"> a physical basin, consisting of valleys surrounded by mountains, while others are more open. While air pollution can move freely within an air basin, it can also sometimes be transported from one basin to another (CARB 2012).</w:t>
      </w:r>
      <w:r>
        <w:t xml:space="preserve"> </w:t>
      </w:r>
      <w:r w:rsidRPr="000A4E0E">
        <w:rPr>
          <w:strike/>
        </w:rPr>
        <w:t>within t</w:t>
      </w:r>
      <w:r w:rsidR="000A4E0E">
        <w:rPr>
          <w:strike/>
        </w:rPr>
        <w:t xml:space="preserve"> </w:t>
      </w:r>
      <w:r w:rsidR="00B1095B" w:rsidRPr="000A4E0E">
        <w:rPr>
          <w:u w:val="single"/>
        </w:rPr>
        <w:t>T</w:t>
      </w:r>
      <w:r>
        <w:t>he treatable landscape</w:t>
      </w:r>
      <w:r w:rsidR="009C16AC" w:rsidRPr="000A4E0E">
        <w:rPr>
          <w:u w:val="single"/>
        </w:rPr>
        <w:t xml:space="preserve"> includes portions of</w:t>
      </w:r>
      <w:r w:rsidR="00B1095B" w:rsidRPr="000A4E0E">
        <w:rPr>
          <w:u w:val="single"/>
        </w:rPr>
        <w:t xml:space="preserve"> all 15 air basins in California</w:t>
      </w:r>
      <w:r w:rsidR="00C54D76" w:rsidRPr="000A4E0E">
        <w:rPr>
          <w:u w:val="single"/>
        </w:rPr>
        <w:t>; therefore, the analysis of cumulative air quality impacts considers effects statewide</w:t>
      </w:r>
      <w:r>
        <w:t xml:space="preserve">. </w:t>
      </w:r>
      <w:r w:rsidR="007A1DDE" w:rsidRPr="0082323D">
        <w:t xml:space="preserve">Treatment </w:t>
      </w:r>
      <w:r w:rsidR="007A1DDE">
        <w:t>activities implemented under the CalVTP would generate emissions of criteria air pollutants</w:t>
      </w:r>
      <w:r w:rsidR="00B928C0" w:rsidRPr="000A4E0E">
        <w:rPr>
          <w:u w:val="single"/>
        </w:rPr>
        <w:t xml:space="preserve"> and precursors</w:t>
      </w:r>
      <w:r w:rsidR="007A1DDE" w:rsidRPr="000A4E0E">
        <w:rPr>
          <w:u w:val="single"/>
        </w:rPr>
        <w:t>,</w:t>
      </w:r>
      <w:r w:rsidR="00B928C0" w:rsidRPr="000A4E0E">
        <w:rPr>
          <w:u w:val="single"/>
        </w:rPr>
        <w:t xml:space="preserve"> as well as</w:t>
      </w:r>
      <w:r w:rsidR="007A1DDE">
        <w:t xml:space="preserve"> </w:t>
      </w:r>
      <w:r w:rsidR="008863F6">
        <w:t xml:space="preserve">toxic </w:t>
      </w:r>
      <w:r w:rsidR="0027695E">
        <w:t>air contaminants (TACs)</w:t>
      </w:r>
      <w:r w:rsidR="007A1DDE" w:rsidRPr="000A4E0E">
        <w:rPr>
          <w:strike/>
        </w:rPr>
        <w:t>,</w:t>
      </w:r>
      <w:r w:rsidR="007A1DDE">
        <w:t xml:space="preserve"> and odors. </w:t>
      </w:r>
    </w:p>
    <w:p w14:paraId="02F69DC2" w14:textId="06118C38" w:rsidR="007A1DDE" w:rsidRDefault="007A1DDE" w:rsidP="00A85731">
      <w:pPr>
        <w:pStyle w:val="BodyText"/>
      </w:pPr>
      <w:r>
        <w:t xml:space="preserve">Future levels of emissions from cumulative projects would be a function of the type and scale of the projects under construction and operation, </w:t>
      </w:r>
      <w:r>
        <w:rPr>
          <w:spacing w:val="-2"/>
        </w:rPr>
        <w:t>including those described in Section 4.</w:t>
      </w:r>
      <w:r w:rsidR="007C75FD">
        <w:rPr>
          <w:spacing w:val="-2"/>
        </w:rPr>
        <w:t>3</w:t>
      </w:r>
      <w:r>
        <w:rPr>
          <w:spacing w:val="-2"/>
        </w:rPr>
        <w:t xml:space="preserve">, </w:t>
      </w:r>
      <w:r w:rsidR="00CC081D">
        <w:rPr>
          <w:spacing w:val="-2"/>
        </w:rPr>
        <w:t>“</w:t>
      </w:r>
      <w:r>
        <w:rPr>
          <w:spacing w:val="-2"/>
        </w:rPr>
        <w:t>Related Projects and Plans</w:t>
      </w:r>
      <w:r w:rsidR="00CC081D">
        <w:rPr>
          <w:spacing w:val="-2"/>
        </w:rPr>
        <w:t>.”</w:t>
      </w:r>
      <w:r>
        <w:t xml:space="preserve"> Projected increases in population in California would increase traffic and associated emissions. Existing emissions have resulted in an existing significant cumulative effect on air quality in multiple air basins in California, specifically within those counties that are not in attainment of national ambient air quality standards (NAAQS) and California ambient air quality standards (CAAQS). The attainment status for every criteria air pollutant with respect to the NAAQS and CAAQS in every county in California is summarized in Table 3.4-4 in Section 3.4, </w:t>
      </w:r>
      <w:r w:rsidR="00CC081D">
        <w:t>“</w:t>
      </w:r>
      <w:r>
        <w:t>Air Quality</w:t>
      </w:r>
      <w:r w:rsidR="00CC081D">
        <w:t>.”</w:t>
      </w:r>
      <w:r>
        <w:t xml:space="preserve"> Cumulative development and future population growth would continue to contribute to air pollutant emissions. </w:t>
      </w:r>
    </w:p>
    <w:p w14:paraId="4A0EC3F0" w14:textId="7623F2BB" w:rsidR="007A1DDE" w:rsidRDefault="007A1DDE" w:rsidP="00A85731">
      <w:pPr>
        <w:pStyle w:val="BodyText"/>
      </w:pPr>
      <w:r>
        <w:t>Implementing t</w:t>
      </w:r>
      <w:r w:rsidRPr="00DE4A1F">
        <w:t xml:space="preserve">he </w:t>
      </w:r>
      <w:r>
        <w:t>CalVTP</w:t>
      </w:r>
      <w:r w:rsidRPr="00DE4A1F">
        <w:t xml:space="preserve"> would result in </w:t>
      </w:r>
      <w:r>
        <w:t xml:space="preserve">an increase in emissions of criteria air pollutants and precursors generated by treatment activities, including mechanical and manual treatments, prescribed herbivory, herbicide application, and prescribed burning. Emissions associated with these treatments would include exhaust generated by off-road equipment, machine-powered hand tools, and helicopters; exhaust from on-road vehicle trips associated with worker commutes and transport of equipment, as well as the hauling and processing of biomass; fugitive dust emissions generated by ground disturbance activities and vehicle travel on unpaved roads, including </w:t>
      </w:r>
      <w:r w:rsidRPr="00324FC8">
        <w:t>respirable particulate matter with aerodynamic diameter of 10 micrometers or less (PM</w:t>
      </w:r>
      <w:r w:rsidRPr="00166605">
        <w:rPr>
          <w:vertAlign w:val="subscript"/>
        </w:rPr>
        <w:t>10</w:t>
      </w:r>
      <w:r w:rsidRPr="00324FC8">
        <w:t>) and fine particulate matter with aerodynamic diameter of 2.5 micrometers or less (PM</w:t>
      </w:r>
      <w:r w:rsidRPr="00166605">
        <w:rPr>
          <w:vertAlign w:val="subscript"/>
        </w:rPr>
        <w:t>2.5</w:t>
      </w:r>
      <w:r w:rsidRPr="00324FC8">
        <w:t>)</w:t>
      </w:r>
      <w:r>
        <w:t>; and smoke generated by the combustion of vegetation during prescribed</w:t>
      </w:r>
      <w:r w:rsidR="00B22A61">
        <w:t> </w:t>
      </w:r>
      <w:r>
        <w:t>burn</w:t>
      </w:r>
      <w:r w:rsidR="008E07EC">
        <w:t>ing</w:t>
      </w:r>
      <w:r>
        <w:t>.</w:t>
      </w:r>
      <w:r w:rsidR="00CC081D">
        <w:t xml:space="preserve"> </w:t>
      </w:r>
    </w:p>
    <w:p w14:paraId="337FAB54" w14:textId="403C322F" w:rsidR="007A1DDE" w:rsidRDefault="0045574F" w:rsidP="008863F6">
      <w:pPr>
        <w:pStyle w:val="BodyText"/>
      </w:pPr>
      <w:r>
        <w:t>A</w:t>
      </w:r>
      <w:r w:rsidR="007A1DDE" w:rsidRPr="00DE4A1F">
        <w:t xml:space="preserve">s discussed </w:t>
      </w:r>
      <w:r w:rsidR="007A1DDE">
        <w:t>under</w:t>
      </w:r>
      <w:r w:rsidR="007A1DDE" w:rsidRPr="00DE4A1F">
        <w:t xml:space="preserve"> Impact </w:t>
      </w:r>
      <w:r w:rsidR="007A1DDE" w:rsidRPr="00312029">
        <w:t>AQ-</w:t>
      </w:r>
      <w:r>
        <w:t>1</w:t>
      </w:r>
      <w:r w:rsidR="007A1DDE" w:rsidRPr="00DE4A1F">
        <w:t xml:space="preserve">, </w:t>
      </w:r>
      <w:r w:rsidR="007A1DDE">
        <w:t xml:space="preserve">treatment activities </w:t>
      </w:r>
      <w:r w:rsidR="007A1DDE" w:rsidRPr="00DE4A1F">
        <w:t xml:space="preserve">would generate levels of </w:t>
      </w:r>
      <w:r w:rsidR="007A1DDE">
        <w:t>criteria air pollutants and precursors, particularly oxides of nitrogen (</w:t>
      </w:r>
      <w:r w:rsidR="007A1DDE" w:rsidRPr="00EE43B4">
        <w:t>NO</w:t>
      </w:r>
      <w:r w:rsidR="007A1DDE" w:rsidRPr="00AF3CDF">
        <w:rPr>
          <w:vertAlign w:val="subscript"/>
        </w:rPr>
        <w:t>X</w:t>
      </w:r>
      <w:r w:rsidR="007A1DDE">
        <w:t xml:space="preserve">), reactive organic gases (ROG), </w:t>
      </w:r>
      <w:r w:rsidR="007A1DDE" w:rsidRPr="00324FC8">
        <w:t>PM</w:t>
      </w:r>
      <w:r w:rsidR="007A1DDE">
        <w:rPr>
          <w:vertAlign w:val="subscript"/>
        </w:rPr>
        <w:t>10</w:t>
      </w:r>
      <w:r w:rsidR="007A1DDE">
        <w:t xml:space="preserve">, and </w:t>
      </w:r>
      <w:r w:rsidR="007A1DDE" w:rsidRPr="00324FC8">
        <w:t>PM</w:t>
      </w:r>
      <w:r w:rsidR="007A1DDE" w:rsidRPr="00324FC8">
        <w:rPr>
          <w:vertAlign w:val="subscript"/>
        </w:rPr>
        <w:t>2.5</w:t>
      </w:r>
      <w:r w:rsidR="007A1DDE">
        <w:t xml:space="preserve">, </w:t>
      </w:r>
      <w:r w:rsidR="007A1DDE" w:rsidRPr="00DE4A1F">
        <w:t>that</w:t>
      </w:r>
      <w:r w:rsidR="007A1DDE" w:rsidRPr="00CB3E8B">
        <w:t xml:space="preserve"> would exceed the </w:t>
      </w:r>
      <w:r w:rsidR="007A1DDE">
        <w:t xml:space="preserve">mass emission–based </w:t>
      </w:r>
      <w:r w:rsidR="007A1DDE" w:rsidRPr="00CB3E8B">
        <w:t xml:space="preserve">significance thresholds </w:t>
      </w:r>
      <w:r w:rsidR="007A1DDE">
        <w:t xml:space="preserve">in </w:t>
      </w:r>
      <w:r w:rsidR="007A1DDE" w:rsidRPr="000A4E0E">
        <w:rPr>
          <w:strike/>
        </w:rPr>
        <w:t xml:space="preserve">one or more </w:t>
      </w:r>
      <w:r w:rsidR="00B66760" w:rsidRPr="000A4E0E">
        <w:rPr>
          <w:u w:val="single"/>
        </w:rPr>
        <w:t xml:space="preserve">multiple </w:t>
      </w:r>
      <w:r w:rsidR="007A1DDE" w:rsidRPr="00CB3E8B">
        <w:t>air districts</w:t>
      </w:r>
      <w:r w:rsidR="00155071" w:rsidRPr="000A4E0E">
        <w:rPr>
          <w:u w:val="single"/>
        </w:rPr>
        <w:t>, and in multiple air basins</w:t>
      </w:r>
      <w:r w:rsidR="007A1DDE" w:rsidRPr="000A4E0E">
        <w:rPr>
          <w:u w:val="single"/>
        </w:rPr>
        <w:t>.</w:t>
      </w:r>
      <w:r w:rsidR="00CC081D" w:rsidRPr="000A4E0E">
        <w:rPr>
          <w:u w:val="single"/>
        </w:rPr>
        <w:t xml:space="preserve"> </w:t>
      </w:r>
      <w:r w:rsidR="00B66760" w:rsidRPr="000A4E0E">
        <w:rPr>
          <w:u w:val="single"/>
        </w:rPr>
        <w:t>Because these emissions can move relatively freely within an air basin</w:t>
      </w:r>
      <w:r w:rsidR="00F02104" w:rsidRPr="000A4E0E">
        <w:rPr>
          <w:u w:val="single"/>
        </w:rPr>
        <w:t>,</w:t>
      </w:r>
      <w:r w:rsidR="00B66760" w:rsidRPr="000A4E0E">
        <w:rPr>
          <w:u w:val="single"/>
        </w:rPr>
        <w:t xml:space="preserve"> they would be present both inside and outside the treatable landscape. </w:t>
      </w:r>
      <w:r w:rsidR="007A1DDE">
        <w:t>Implementation of Mitigation Measure AQ-1 would require project proponents to implement emission reduction techniques where feasible, which would reduce emissions generated during treatment activities</w:t>
      </w:r>
      <w:r w:rsidR="008E07EC">
        <w:t>.</w:t>
      </w:r>
      <w:r w:rsidR="007A1DDE">
        <w:t xml:space="preserve"> </w:t>
      </w:r>
      <w:r w:rsidR="008E07EC">
        <w:t>H</w:t>
      </w:r>
      <w:r w:rsidR="007A1DDE">
        <w:t xml:space="preserve">owever, </w:t>
      </w:r>
      <w:r w:rsidR="007A1DDE" w:rsidRPr="0056658D">
        <w:t>the levels of criteria air pollutants and precursors emitted by treatment activit</w:t>
      </w:r>
      <w:r w:rsidR="007A1DDE">
        <w:t>ies</w:t>
      </w:r>
      <w:r w:rsidR="007A1DDE" w:rsidRPr="0056658D">
        <w:t xml:space="preserve"> could </w:t>
      </w:r>
      <w:r w:rsidR="007A1DDE">
        <w:t xml:space="preserve">still </w:t>
      </w:r>
      <w:r w:rsidR="007A1DDE" w:rsidRPr="0056658D">
        <w:t>exceed the mass emissions thresholds recommended by local air districts</w:t>
      </w:r>
      <w:r w:rsidR="0006308D">
        <w:t>, and therefore, the CalVTP</w:t>
      </w:r>
      <w:r w:rsidR="00CC081D">
        <w:t>’</w:t>
      </w:r>
      <w:r w:rsidR="0006308D">
        <w:t xml:space="preserve">s contribution </w:t>
      </w:r>
      <w:r w:rsidR="007A1DDE">
        <w:t>to the nonattainment status of criteria air pollutants in some air basins in California</w:t>
      </w:r>
      <w:r w:rsidR="0006308D">
        <w:t xml:space="preserve"> </w:t>
      </w:r>
      <w:r w:rsidR="0006308D" w:rsidRPr="00430C30">
        <w:t>would be cumulatively considerable</w:t>
      </w:r>
      <w:r w:rsidR="007A1DDE" w:rsidRPr="0056658D">
        <w:t>.</w:t>
      </w:r>
      <w:r w:rsidR="007A1DDE">
        <w:t xml:space="preserve"> </w:t>
      </w:r>
      <w:r w:rsidR="009B2E50" w:rsidRPr="000A4E0E">
        <w:rPr>
          <w:u w:val="single"/>
        </w:rPr>
        <w:t xml:space="preserve">Under some </w:t>
      </w:r>
      <w:r w:rsidR="009B2E50" w:rsidRPr="000A4E0E">
        <w:rPr>
          <w:u w:val="single"/>
        </w:rPr>
        <w:lastRenderedPageBreak/>
        <w:t>meteorological conditions</w:t>
      </w:r>
      <w:r w:rsidR="00F02104" w:rsidRPr="000A4E0E">
        <w:rPr>
          <w:u w:val="single"/>
        </w:rPr>
        <w:t>,</w:t>
      </w:r>
      <w:r w:rsidR="009B2E50" w:rsidRPr="000A4E0E">
        <w:rPr>
          <w:u w:val="single"/>
        </w:rPr>
        <w:t xml:space="preserve"> some of the criteria air pollutants and precursors emitted in one air basin could transport to an adjacent air basin. </w:t>
      </w:r>
      <w:r w:rsidR="00BE5EC2" w:rsidRPr="000A4E0E">
        <w:rPr>
          <w:strike/>
        </w:rPr>
        <w:t>H</w:t>
      </w:r>
      <w:r w:rsidR="007A1DDE" w:rsidRPr="000A4E0E">
        <w:rPr>
          <w:strike/>
        </w:rPr>
        <w:t xml:space="preserve">owever, </w:t>
      </w:r>
      <w:r w:rsidRPr="000A4E0E">
        <w:rPr>
          <w:strike/>
        </w:rPr>
        <w:t xml:space="preserve">this </w:t>
      </w:r>
      <w:proofErr w:type="spellStart"/>
      <w:r w:rsidR="007A1DDE" w:rsidRPr="000A4E0E">
        <w:rPr>
          <w:strike/>
        </w:rPr>
        <w:t>m</w:t>
      </w:r>
      <w:r w:rsidR="009B2E50" w:rsidRPr="000A4E0E">
        <w:rPr>
          <w:u w:val="single"/>
        </w:rPr>
        <w:t>Mitigation</w:t>
      </w:r>
      <w:proofErr w:type="spellEnd"/>
      <w:r w:rsidR="009B2E50" w:rsidRPr="000A4E0E">
        <w:rPr>
          <w:u w:val="single"/>
        </w:rPr>
        <w:t xml:space="preserve"> M</w:t>
      </w:r>
      <w:r w:rsidR="007A1DDE">
        <w:t xml:space="preserve">easure </w:t>
      </w:r>
      <w:r w:rsidR="009B2E50" w:rsidRPr="000A4E0E">
        <w:rPr>
          <w:u w:val="single"/>
        </w:rPr>
        <w:t xml:space="preserve">AQ-1 </w:t>
      </w:r>
      <w:r w:rsidR="007A1DDE" w:rsidRPr="008218DD">
        <w:t>would not reduce mass emissions of criteria air pollutants and precursors to less than the mass emission significance thresholds established by air districts with jurisdiction in the treatable landscape</w:t>
      </w:r>
      <w:r w:rsidR="00265FE2">
        <w:t>. Therefore, the CalVTP</w:t>
      </w:r>
      <w:r w:rsidR="00CC081D">
        <w:t>’</w:t>
      </w:r>
      <w:r w:rsidR="00265FE2">
        <w:t xml:space="preserve">s contribution </w:t>
      </w:r>
      <w:r w:rsidR="007A1DDE">
        <w:t>to the nonattainment status of criteria air pollutants in some or all air basins in California</w:t>
      </w:r>
      <w:r w:rsidR="00265FE2">
        <w:t xml:space="preserve"> </w:t>
      </w:r>
      <w:r w:rsidR="00265FE2" w:rsidRPr="00AC5EB8">
        <w:rPr>
          <w:b/>
        </w:rPr>
        <w:t xml:space="preserve">would </w:t>
      </w:r>
      <w:r w:rsidR="00430C30" w:rsidRPr="00430C30">
        <w:rPr>
          <w:b/>
        </w:rPr>
        <w:t xml:space="preserve">remain </w:t>
      </w:r>
      <w:r w:rsidR="00265FE2" w:rsidRPr="00AC5EB8">
        <w:rPr>
          <w:b/>
        </w:rPr>
        <w:t>cumulatively considerable</w:t>
      </w:r>
      <w:r w:rsidR="007A1DDE">
        <w:t xml:space="preserve">. Additionally, implementation of Mitigation Measure AQ-1 would not reduce localized concentrations of criteria air pollutants from fugitive dust and smoke emissions to less than the NAAQS and </w:t>
      </w:r>
      <w:r w:rsidR="007A1DDE" w:rsidRPr="008218DD">
        <w:t>CAAQS</w:t>
      </w:r>
      <w:r w:rsidR="0006308D">
        <w:t>. Therefore, the CalVTP</w:t>
      </w:r>
      <w:r w:rsidR="00CC081D">
        <w:t>’</w:t>
      </w:r>
      <w:r w:rsidR="0006308D">
        <w:t xml:space="preserve">s contribution </w:t>
      </w:r>
      <w:r w:rsidR="007A1DDE" w:rsidRPr="008218DD">
        <w:t>to localized exceedances of the NAAQS and CAAQS</w:t>
      </w:r>
      <w:r w:rsidR="0006308D">
        <w:t xml:space="preserve"> would be cumulatively considerable</w:t>
      </w:r>
      <w:r w:rsidR="007A1DDE" w:rsidRPr="008218DD">
        <w:t>.</w:t>
      </w:r>
    </w:p>
    <w:p w14:paraId="43DC7787" w14:textId="7EAF60C9" w:rsidR="007A1DDE" w:rsidRDefault="007A1DDE" w:rsidP="008863F6">
      <w:pPr>
        <w:pStyle w:val="BodyText"/>
      </w:pPr>
      <w:r>
        <w:t>TACs are pollutants of localized concern. The emissions of multiple TACs by sources, including diesel particulate matter exhaust (diesel PM), is considered to be a cumulative impact to air quality in locations where receptors are exposed to high concentrations of TACs over the long term. As discussed under Impact AQ-</w:t>
      </w:r>
      <w:r w:rsidR="0045574F">
        <w:t>2</w:t>
      </w:r>
      <w:r>
        <w:t>, treatment activities implemented under the Cal VTP would result in diesel PM emitted by diesel-powered on-road vehicles and off-road equipment</w:t>
      </w:r>
      <w:r w:rsidR="0033277C">
        <w:t>,</w:t>
      </w:r>
      <w:r>
        <w:t xml:space="preserve"> but the resulting levels of health risk exposure would not result in an incremental increase in cancer risk greater than 10 in </w:t>
      </w:r>
      <w:r w:rsidR="0027695E">
        <w:t xml:space="preserve">1 </w:t>
      </w:r>
      <w:r>
        <w:t>million or a Hazard Index greater than 1.0 at any receptors</w:t>
      </w:r>
      <w:r w:rsidR="0006308D">
        <w:t>. Therefore, the CalVTP</w:t>
      </w:r>
      <w:r w:rsidR="00CC081D">
        <w:t>’</w:t>
      </w:r>
      <w:r w:rsidR="0006308D">
        <w:t xml:space="preserve">s contribution to TAC health risks </w:t>
      </w:r>
      <w:r w:rsidR="0006308D" w:rsidRPr="00AC5EB8">
        <w:rPr>
          <w:b/>
        </w:rPr>
        <w:t>would not be</w:t>
      </w:r>
      <w:r w:rsidR="0006308D">
        <w:t xml:space="preserve"> </w:t>
      </w:r>
      <w:r w:rsidRPr="00AC5EB8">
        <w:rPr>
          <w:b/>
        </w:rPr>
        <w:t>cumulatively considerable</w:t>
      </w:r>
      <w:r>
        <w:t>. The same is also true regarding the potential for exposure to fugitive dust containing naturally occurring asbestos, as discussed under Impact AQ-</w:t>
      </w:r>
      <w:r w:rsidR="0045574F">
        <w:t>3</w:t>
      </w:r>
      <w:r>
        <w:t xml:space="preserve">. </w:t>
      </w:r>
    </w:p>
    <w:p w14:paraId="7BE250DA" w14:textId="26B183A3" w:rsidR="007A1DDE" w:rsidRDefault="007A1DDE" w:rsidP="008863F6">
      <w:pPr>
        <w:pStyle w:val="BodyText"/>
      </w:pPr>
      <w:r>
        <w:t>However, TACs contained in smoke generated by prescribed burns, which are discussed under Impact AQ-</w:t>
      </w:r>
      <w:r w:rsidR="0045574F">
        <w:t>4</w:t>
      </w:r>
      <w:r>
        <w:t>, could expose receptors to an acute, short-term health risk with a Hazard Index greater than 1.0</w:t>
      </w:r>
      <w:r w:rsidR="00430C30">
        <w:t>; the CalVTP</w:t>
      </w:r>
      <w:r w:rsidR="00CC081D">
        <w:t>’</w:t>
      </w:r>
      <w:r w:rsidR="00430C30">
        <w:t xml:space="preserve">s contribution to health risks from TAC exposure </w:t>
      </w:r>
      <w:r w:rsidR="00430C30" w:rsidRPr="00B91946">
        <w:rPr>
          <w:b/>
        </w:rPr>
        <w:t xml:space="preserve">would </w:t>
      </w:r>
      <w:r w:rsidR="00430C30">
        <w:rPr>
          <w:b/>
        </w:rPr>
        <w:t>be</w:t>
      </w:r>
      <w:r w:rsidR="00430C30" w:rsidRPr="00430C30">
        <w:rPr>
          <w:b/>
        </w:rPr>
        <w:t xml:space="preserve"> </w:t>
      </w:r>
      <w:r w:rsidR="00430C30" w:rsidRPr="00B91946">
        <w:rPr>
          <w:b/>
        </w:rPr>
        <w:t>cumulatively considerable</w:t>
      </w:r>
      <w:r>
        <w:t>.</w:t>
      </w:r>
      <w:r w:rsidR="00CC081D">
        <w:t xml:space="preserve"> </w:t>
      </w:r>
    </w:p>
    <w:p w14:paraId="3444C118" w14:textId="0313C15C" w:rsidR="007A1DDE" w:rsidRDefault="007A1DDE" w:rsidP="008863F6">
      <w:pPr>
        <w:pStyle w:val="BodyText"/>
      </w:pPr>
      <w:r>
        <w:t>Impacts associated with odor exposure are not inherently cumulative. It is unlikely that odors generated by treatment activities would combine with odors generated</w:t>
      </w:r>
      <w:r>
        <w:rPr>
          <w:rStyle w:val="CommentReference"/>
        </w:rPr>
        <w:t xml:space="preserve"> </w:t>
      </w:r>
      <w:r>
        <w:t xml:space="preserve">by </w:t>
      </w:r>
      <w:r w:rsidR="0027695E">
        <w:t xml:space="preserve">other </w:t>
      </w:r>
      <w:r>
        <w:t>cumulative projects</w:t>
      </w:r>
      <w:r>
        <w:rPr>
          <w:rFonts w:ascii="Times New Roman" w:eastAsia="Times New Roman" w:hAnsi="Times New Roman" w:cs="Times New Roman"/>
          <w:sz w:val="24"/>
          <w:szCs w:val="24"/>
        </w:rPr>
        <w:t>.</w:t>
      </w:r>
      <w:r>
        <w:t xml:space="preserve"> As discussed under Impact AQ-</w:t>
      </w:r>
      <w:r w:rsidR="0045574F">
        <w:t>5</w:t>
      </w:r>
      <w:r>
        <w:t>, diesel PM generated by equipment used for treatment activities would not expose a substantial number of people</w:t>
      </w:r>
      <w:r w:rsidR="0027695E">
        <w:t xml:space="preserve"> to objectionable odors</w:t>
      </w:r>
      <w:r>
        <w:t>,</w:t>
      </w:r>
      <w:r w:rsidR="0006308D">
        <w:t xml:space="preserve"> and; therefore, the CalVTP</w:t>
      </w:r>
      <w:r w:rsidR="00CC081D">
        <w:t>’</w:t>
      </w:r>
      <w:r w:rsidR="0006308D">
        <w:t xml:space="preserve">s contribution to health risks </w:t>
      </w:r>
      <w:r w:rsidR="0006308D" w:rsidRPr="00AC5EB8">
        <w:rPr>
          <w:b/>
        </w:rPr>
        <w:t>would not be</w:t>
      </w:r>
      <w:r w:rsidR="0006308D">
        <w:t xml:space="preserve"> </w:t>
      </w:r>
      <w:r w:rsidRPr="00AC5EB8">
        <w:rPr>
          <w:b/>
        </w:rPr>
        <w:t>cumulatively considerable</w:t>
      </w:r>
      <w:r>
        <w:t>.</w:t>
      </w:r>
      <w:r w:rsidR="00CC081D">
        <w:t xml:space="preserve"> </w:t>
      </w:r>
    </w:p>
    <w:p w14:paraId="0F81F651" w14:textId="72EDCAB4" w:rsidR="00ED0285" w:rsidRPr="00ED0285" w:rsidRDefault="007A1DDE" w:rsidP="008863F6">
      <w:pPr>
        <w:pStyle w:val="BodyText"/>
      </w:pPr>
      <w:r>
        <w:t>As discussed under Impact AQ-</w:t>
      </w:r>
      <w:r w:rsidR="0045574F">
        <w:t>6</w:t>
      </w:r>
      <w:r>
        <w:t xml:space="preserve">, odors contained in smoke generated by prescribed </w:t>
      </w:r>
      <w:r w:rsidR="0027695E">
        <w:t>burning</w:t>
      </w:r>
      <w:r>
        <w:t xml:space="preserve"> could be considered objectionable and could expose a substantial number of people, thereby resulting in a cumulatively considerable contribution to odors. </w:t>
      </w:r>
      <w:r w:rsidR="0045574F">
        <w:t>Feasible measures are not available to further</w:t>
      </w:r>
      <w:r>
        <w:t xml:space="preserve"> prevent people from being exposed to odiferous smoke</w:t>
      </w:r>
      <w:r w:rsidR="0027695E">
        <w:t>. Therefore, the CalVTP</w:t>
      </w:r>
      <w:r w:rsidR="00CC081D">
        <w:t>’</w:t>
      </w:r>
      <w:r w:rsidR="0027695E">
        <w:t xml:space="preserve">s contribution to odors from smoke exposure </w:t>
      </w:r>
      <w:r w:rsidR="0027695E" w:rsidRPr="00AC5EB8">
        <w:rPr>
          <w:b/>
        </w:rPr>
        <w:t>would be</w:t>
      </w:r>
      <w:r w:rsidR="0027695E">
        <w:t xml:space="preserve"> </w:t>
      </w:r>
      <w:r w:rsidRPr="00AC5EB8">
        <w:rPr>
          <w:b/>
        </w:rPr>
        <w:t>cumulatively considerable</w:t>
      </w:r>
      <w:r>
        <w:t xml:space="preserve">. </w:t>
      </w:r>
      <w:bookmarkEnd w:id="14"/>
    </w:p>
    <w:p w14:paraId="5BA4F81D" w14:textId="07E4E4B5" w:rsidR="00ED0285" w:rsidRDefault="00ED0285" w:rsidP="00ED0285">
      <w:pPr>
        <w:pStyle w:val="Heading3"/>
      </w:pPr>
      <w:r w:rsidRPr="007C2DEB">
        <w:t>Archeological, Historic, and Tribal Cultural Resources</w:t>
      </w:r>
    </w:p>
    <w:p w14:paraId="7BED1907" w14:textId="6E9B40CB" w:rsidR="00E55EB6" w:rsidRPr="00D20E44" w:rsidRDefault="00E55EB6" w:rsidP="00540E81">
      <w:pPr>
        <w:pStyle w:val="BodyText"/>
      </w:pPr>
      <w:r w:rsidRPr="00D20E44">
        <w:t xml:space="preserve">The </w:t>
      </w:r>
      <w:r>
        <w:t xml:space="preserve">geographic scope for the analysis of </w:t>
      </w:r>
      <w:r w:rsidRPr="00D20E44">
        <w:t>cumulative</w:t>
      </w:r>
      <w:r>
        <w:t xml:space="preserve"> impacts to</w:t>
      </w:r>
      <w:r w:rsidRPr="00D20E44">
        <w:t xml:space="preserve"> </w:t>
      </w:r>
      <w:r>
        <w:t xml:space="preserve">historical resources, unique </w:t>
      </w:r>
      <w:r w:rsidRPr="00D20E44">
        <w:t>archaeological</w:t>
      </w:r>
      <w:r>
        <w:t xml:space="preserve"> resources</w:t>
      </w:r>
      <w:r w:rsidRPr="00D20E44">
        <w:t>,</w:t>
      </w:r>
      <w:r>
        <w:t xml:space="preserve"> </w:t>
      </w:r>
      <w:r w:rsidRPr="00D20E44">
        <w:t xml:space="preserve">tribal cultural resources, and human remains is the </w:t>
      </w:r>
      <w:r>
        <w:t>state of California.</w:t>
      </w:r>
      <w:r w:rsidR="00CC081D">
        <w:t xml:space="preserve"> </w:t>
      </w:r>
    </w:p>
    <w:p w14:paraId="51E61F46" w14:textId="5C229E9A" w:rsidR="00E55EB6" w:rsidRDefault="00E55EB6" w:rsidP="00540E81">
      <w:pPr>
        <w:pStyle w:val="BodyText"/>
      </w:pPr>
      <w:r w:rsidRPr="00FE1FF3">
        <w:t>Because all significant cultural resources are unique and nonrenewable members of finite classes, meaning there are a limited number of significant cultural resources, all adverse effects erode a dwindling resource base</w:t>
      </w:r>
      <w:r>
        <w:t xml:space="preserve">. </w:t>
      </w:r>
      <w:r w:rsidRPr="00FE1FF3">
        <w:t>The loss of any one archaeological site could affect the scientific value of others in a region because these resources are best understood in the context of the entirety of the cultural system of which they are a part</w:t>
      </w:r>
      <w:r>
        <w:t xml:space="preserve">. </w:t>
      </w:r>
      <w:r w:rsidRPr="00FE1FF3">
        <w:t>The cultural system is represented archaeologically by the total inventory of all sites and other cultural remains in the region</w:t>
      </w:r>
      <w:r>
        <w:t xml:space="preserve">. </w:t>
      </w:r>
      <w:r w:rsidRPr="00FE1FF3">
        <w:t>As a result, a meaningful approach to preserving and managing cultural resources must focus on the likely distribution of cultural resources, rather than on a single project or parcel boundary</w:t>
      </w:r>
      <w:r>
        <w:t>.</w:t>
      </w:r>
      <w:r w:rsidR="00CC081D">
        <w:t xml:space="preserve"> </w:t>
      </w:r>
    </w:p>
    <w:p w14:paraId="044A927B" w14:textId="64D615EA" w:rsidR="00E55EB6" w:rsidRDefault="00E55EB6" w:rsidP="00540E81">
      <w:pPr>
        <w:pStyle w:val="BodyText"/>
      </w:pPr>
      <w:r>
        <w:t xml:space="preserve">The historic lands of California tribal peoples have been affected by development since the arrival of </w:t>
      </w:r>
      <w:r w:rsidRPr="00B5075E">
        <w:t xml:space="preserve">Sir Francis Drake of England </w:t>
      </w:r>
      <w:r>
        <w:t>i</w:t>
      </w:r>
      <w:r w:rsidRPr="00B5075E">
        <w:t>n 1579</w:t>
      </w:r>
      <w:r>
        <w:t xml:space="preserve"> and quickly grew with the </w:t>
      </w:r>
      <w:r w:rsidRPr="00B5075E">
        <w:t>establish</w:t>
      </w:r>
      <w:r>
        <w:t>ment of 21</w:t>
      </w:r>
      <w:r w:rsidRPr="00B5075E">
        <w:t xml:space="preserve"> missions </w:t>
      </w:r>
      <w:r>
        <w:t>from San Diego to Sonoma between 1769 and 1821. Development of tribal lands continued with the discovery of gold, followed by California</w:t>
      </w:r>
      <w:r w:rsidR="00CC081D">
        <w:t>’</w:t>
      </w:r>
      <w:r>
        <w:t xml:space="preserve">s admission to statehood in 1850, the agricultural boom in the late 1800s through the 1930s, and the post-World War II population growth. Similarly, historical resources throughout California have been affected by suburban sprawl, downtown redevelopment projects, and transportation projects. These activities have resulted in an existing significant adverse cumulative effect on historical resources, unique </w:t>
      </w:r>
      <w:r w:rsidRPr="00D20E44">
        <w:t xml:space="preserve">archaeological resources, </w:t>
      </w:r>
      <w:proofErr w:type="spellStart"/>
      <w:r w:rsidRPr="000A4E0E">
        <w:rPr>
          <w:strike/>
        </w:rPr>
        <w:t>TCRs</w:t>
      </w:r>
      <w:r w:rsidR="00EB7806" w:rsidRPr="000A4E0E">
        <w:rPr>
          <w:u w:val="single"/>
        </w:rPr>
        <w:t>tribal</w:t>
      </w:r>
      <w:proofErr w:type="spellEnd"/>
      <w:r w:rsidR="00EB7806" w:rsidRPr="000A4E0E">
        <w:rPr>
          <w:u w:val="single"/>
        </w:rPr>
        <w:t xml:space="preserve"> cultural resources</w:t>
      </w:r>
      <w:r w:rsidRPr="00D20E44">
        <w:t>, and human remains</w:t>
      </w:r>
      <w:r>
        <w:t>. Cumulative development and related vegetation treatment projects and programs described in Section 4.</w:t>
      </w:r>
      <w:r w:rsidR="007C75FD">
        <w:t>3</w:t>
      </w:r>
      <w:r>
        <w:t xml:space="preserve"> will continue in the foreseeable future to contribute to the disturbance of cultural resources.</w:t>
      </w:r>
    </w:p>
    <w:p w14:paraId="3BE22830" w14:textId="074CD781" w:rsidR="00E55EB6" w:rsidRDefault="00E55EB6" w:rsidP="00540E81">
      <w:pPr>
        <w:pStyle w:val="BodyText"/>
      </w:pPr>
      <w:r>
        <w:lastRenderedPageBreak/>
        <w:t>Vegetation treatment</w:t>
      </w:r>
      <w:r w:rsidRPr="00FE1FF3">
        <w:t xml:space="preserve"> activities could damage </w:t>
      </w:r>
      <w:r>
        <w:t>historical resources,</w:t>
      </w:r>
      <w:r w:rsidRPr="00FE1FF3">
        <w:t xml:space="preserve"> </w:t>
      </w:r>
      <w:r>
        <w:t xml:space="preserve">unique </w:t>
      </w:r>
      <w:r w:rsidRPr="00FE1FF3">
        <w:t>archaeological resources</w:t>
      </w:r>
      <w:r>
        <w:t xml:space="preserve">, </w:t>
      </w:r>
      <w:r w:rsidR="003F5B92">
        <w:t>tribal cultural resources</w:t>
      </w:r>
      <w:r>
        <w:t xml:space="preserve">, or human remains. </w:t>
      </w:r>
      <w:r w:rsidRPr="00FE1FF3">
        <w:t xml:space="preserve">The </w:t>
      </w:r>
      <w:r>
        <w:t>CalVTP</w:t>
      </w:r>
      <w:r w:rsidRPr="00FE1FF3">
        <w:t xml:space="preserve">, in combination with other </w:t>
      </w:r>
      <w:r>
        <w:t>related projects and plans throughout the state</w:t>
      </w:r>
      <w:r w:rsidRPr="00FE1FF3">
        <w:t xml:space="preserve">, could </w:t>
      </w:r>
      <w:r>
        <w:t>contribute to ongoing</w:t>
      </w:r>
      <w:r w:rsidRPr="00FE1FF3">
        <w:t xml:space="preserve"> substantial adverse change</w:t>
      </w:r>
      <w:r>
        <w:t>s</w:t>
      </w:r>
      <w:r w:rsidRPr="00FE1FF3">
        <w:t xml:space="preserve"> in the significance of </w:t>
      </w:r>
      <w:r>
        <w:t xml:space="preserve">these resources. SPRs </w:t>
      </w:r>
      <w:r w:rsidRPr="00DC3233">
        <w:rPr>
          <w:rFonts w:eastAsia="Calibri" w:cs="Times New Roman"/>
        </w:rPr>
        <w:t xml:space="preserve">would </w:t>
      </w:r>
      <w:r>
        <w:rPr>
          <w:rFonts w:eastAsia="Calibri" w:cs="Times New Roman"/>
        </w:rPr>
        <w:t>avoid or minimize impacts</w:t>
      </w:r>
      <w:r w:rsidRPr="00DC3233">
        <w:rPr>
          <w:rFonts w:eastAsia="Calibri" w:cs="Times New Roman"/>
        </w:rPr>
        <w:t xml:space="preserve"> </w:t>
      </w:r>
      <w:r>
        <w:rPr>
          <w:rFonts w:eastAsia="Calibri" w:cs="Times New Roman"/>
        </w:rPr>
        <w:t xml:space="preserve">to </w:t>
      </w:r>
      <w:r w:rsidRPr="00DC3233">
        <w:rPr>
          <w:rFonts w:eastAsia="Calibri" w:cs="Times New Roman"/>
        </w:rPr>
        <w:t>any known or resources</w:t>
      </w:r>
      <w:r>
        <w:rPr>
          <w:rFonts w:eastAsia="Calibri" w:cs="Times New Roman"/>
        </w:rPr>
        <w:t xml:space="preserve">. SPR CUL-1 requires a recent records search, and SPR CUL-2 requires </w:t>
      </w:r>
      <w:r>
        <w:t xml:space="preserve">consultation with Native American </w:t>
      </w:r>
      <w:r w:rsidR="003F5B92">
        <w:t>t</w:t>
      </w:r>
      <w:r>
        <w:t>ribes</w:t>
      </w:r>
      <w:r>
        <w:rPr>
          <w:rFonts w:eastAsia="Calibri" w:cs="Times New Roman"/>
        </w:rPr>
        <w:t xml:space="preserve">. SPR CUL-3 requires </w:t>
      </w:r>
      <w:r w:rsidR="003F5B92">
        <w:rPr>
          <w:rFonts w:eastAsia="Calibri" w:cs="Times New Roman"/>
        </w:rPr>
        <w:t xml:space="preserve">pre-field research and SPR CUL-4 requires </w:t>
      </w:r>
      <w:r>
        <w:rPr>
          <w:rFonts w:eastAsia="Calibri" w:cs="Times New Roman"/>
        </w:rPr>
        <w:t xml:space="preserve">an archaeological survey of the treatment area and </w:t>
      </w:r>
      <w:r w:rsidR="003F5B92">
        <w:rPr>
          <w:rFonts w:eastAsia="Calibri" w:cs="Times New Roman"/>
        </w:rPr>
        <w:t>preparation of a survey report</w:t>
      </w:r>
      <w:r>
        <w:rPr>
          <w:rFonts w:eastAsia="Calibri" w:cs="Times New Roman"/>
        </w:rPr>
        <w:t xml:space="preserve">. </w:t>
      </w:r>
      <w:r w:rsidR="003F5B92">
        <w:rPr>
          <w:rFonts w:eastAsia="Calibri" w:cs="Times New Roman"/>
        </w:rPr>
        <w:t xml:space="preserve">SPR CUL-5 requires avoidance or protection of any known resources, </w:t>
      </w:r>
      <w:r w:rsidR="00EB7806" w:rsidRPr="000A4E0E">
        <w:rPr>
          <w:rFonts w:eastAsia="Calibri" w:cs="Times New Roman"/>
          <w:u w:val="single"/>
        </w:rPr>
        <w:t xml:space="preserve">SPR CUL-6 requires avoidance or protection of tribal cultural resources, </w:t>
      </w:r>
      <w:r w:rsidR="003F5B92">
        <w:rPr>
          <w:rFonts w:eastAsia="Calibri" w:cs="Times New Roman"/>
        </w:rPr>
        <w:t xml:space="preserve">and </w:t>
      </w:r>
      <w:r>
        <w:rPr>
          <w:rFonts w:eastAsia="Calibri" w:cs="Times New Roman"/>
        </w:rPr>
        <w:t>SPR CUL-</w:t>
      </w:r>
      <w:r w:rsidR="00EB7806" w:rsidRPr="000A4E0E">
        <w:rPr>
          <w:rFonts w:eastAsia="Calibri" w:cs="Times New Roman"/>
          <w:u w:val="single"/>
        </w:rPr>
        <w:t>7</w:t>
      </w:r>
      <w:r w:rsidR="003F5B92" w:rsidRPr="000A4E0E">
        <w:rPr>
          <w:rFonts w:eastAsia="Calibri" w:cs="Times New Roman"/>
          <w:strike/>
        </w:rPr>
        <w:t>6</w:t>
      </w:r>
      <w:r>
        <w:rPr>
          <w:rFonts w:eastAsia="Calibri" w:cs="Times New Roman"/>
        </w:rPr>
        <w:t xml:space="preserve"> requires the avoidance of known historical resources and the avoidance of built-environment structures that have not yet been evaluated for historical significance. </w:t>
      </w:r>
      <w:r w:rsidRPr="00A17266">
        <w:t>Conducting record searches, contacting Native American groups, conducting</w:t>
      </w:r>
      <w:r w:rsidR="00711824">
        <w:t xml:space="preserve"> pre-field research and</w:t>
      </w:r>
      <w:r w:rsidRPr="00A17266">
        <w:t xml:space="preserve"> cultural resource surveys, and avoiding known resources will avoid or minimize the risk of disturbance, damage, or destruction of these resources by identifying, avoiding or protecting these sensitive resources from damage that could be caused by </w:t>
      </w:r>
      <w:r>
        <w:t xml:space="preserve">treatment activities. </w:t>
      </w:r>
      <w:r>
        <w:rPr>
          <w:rFonts w:eastAsia="Calibri" w:cs="Times New Roman"/>
        </w:rPr>
        <w:t>SPR CUL-</w:t>
      </w:r>
      <w:r w:rsidR="00EB7806" w:rsidRPr="000A4E0E">
        <w:rPr>
          <w:rFonts w:eastAsia="Calibri" w:cs="Times New Roman"/>
          <w:u w:val="single"/>
        </w:rPr>
        <w:t>8</w:t>
      </w:r>
      <w:r w:rsidR="003F5B92" w:rsidRPr="000A4E0E">
        <w:rPr>
          <w:rFonts w:eastAsia="Calibri" w:cs="Times New Roman"/>
          <w:strike/>
        </w:rPr>
        <w:t>7</w:t>
      </w:r>
      <w:r>
        <w:rPr>
          <w:rFonts w:eastAsia="Calibri" w:cs="Times New Roman"/>
        </w:rPr>
        <w:t xml:space="preserve"> requires worker awareness training and that treatment activities be halted if any </w:t>
      </w:r>
      <w:r w:rsidR="00711824">
        <w:rPr>
          <w:rFonts w:eastAsia="Calibri" w:cs="Times New Roman"/>
        </w:rPr>
        <w:t xml:space="preserve">unknown </w:t>
      </w:r>
      <w:r>
        <w:rPr>
          <w:rFonts w:eastAsia="Calibri" w:cs="Times New Roman"/>
        </w:rPr>
        <w:t xml:space="preserve">cultural resources are discovered. </w:t>
      </w:r>
      <w:r>
        <w:t xml:space="preserve">Conducting worker awareness training would avoid or minimize the risk of disturbance, damage, or destruction of subsurface resources by training workers on how to identify resources that could be otherwise inadvertently be </w:t>
      </w:r>
      <w:r w:rsidRPr="00285B5F">
        <w:t>damaged by</w:t>
      </w:r>
      <w:r>
        <w:t xml:space="preserve"> treatment activities and halting work.</w:t>
      </w:r>
      <w:r w:rsidR="00711824">
        <w:rPr>
          <w:rFonts w:eastAsia="Calibri" w:cs="Times New Roman"/>
        </w:rPr>
        <w:t xml:space="preserve"> </w:t>
      </w:r>
      <w:r>
        <w:rPr>
          <w:rFonts w:eastAsia="Calibri" w:cs="Times New Roman"/>
        </w:rPr>
        <w:t xml:space="preserve">In addition, </w:t>
      </w:r>
      <w:r>
        <w:t>c</w:t>
      </w:r>
      <w:r w:rsidRPr="005A5F21">
        <w:t xml:space="preserve">ompliance with California Health and Safety Code Sections 7050.5 and 7052 and </w:t>
      </w:r>
      <w:r>
        <w:t>PRC</w:t>
      </w:r>
      <w:r w:rsidRPr="005A5F21">
        <w:t xml:space="preserve"> Section 5097 would </w:t>
      </w:r>
      <w:r>
        <w:t>require</w:t>
      </w:r>
      <w:r w:rsidRPr="005A5F21">
        <w:t xml:space="preserve"> </w:t>
      </w:r>
      <w:r>
        <w:t xml:space="preserve">that treatment and disposition of human remains occurs in a manner consistent with </w:t>
      </w:r>
      <w:r w:rsidRPr="009047FB">
        <w:rPr>
          <w:caps/>
        </w:rPr>
        <w:t>s</w:t>
      </w:r>
      <w:r>
        <w:t xml:space="preserve">tate guidelines and California Native American Heritage Commission guidance and impacts would be avoided or minimized. </w:t>
      </w:r>
      <w:r w:rsidRPr="00FE1FF3">
        <w:t xml:space="preserve">Therefore, the </w:t>
      </w:r>
      <w:r>
        <w:t>CalVTP</w:t>
      </w:r>
      <w:r w:rsidR="00CC081D">
        <w:t>’</w:t>
      </w:r>
      <w:r w:rsidR="00A02E3A">
        <w:t xml:space="preserve">s contribution </w:t>
      </w:r>
      <w:r w:rsidRPr="00FE1FF3">
        <w:t>to a significant cumulative impact related to</w:t>
      </w:r>
      <w:r>
        <w:t xml:space="preserve"> known unique archaeological resources, </w:t>
      </w:r>
      <w:r w:rsidR="00EB7806" w:rsidRPr="000A4E0E">
        <w:rPr>
          <w:u w:val="single"/>
        </w:rPr>
        <w:t xml:space="preserve">tribal cultural resources, </w:t>
      </w:r>
      <w:r>
        <w:t>subsurface historical resources, or built</w:t>
      </w:r>
      <w:r w:rsidRPr="00FE1FF3">
        <w:t xml:space="preserve"> </w:t>
      </w:r>
      <w:r>
        <w:t>historical resources</w:t>
      </w:r>
      <w:r w:rsidR="00A02E3A">
        <w:t>,</w:t>
      </w:r>
      <w:r>
        <w:t xml:space="preserve"> or human remains</w:t>
      </w:r>
      <w:r w:rsidR="00A02E3A">
        <w:t xml:space="preserve"> </w:t>
      </w:r>
      <w:r w:rsidR="00A02E3A" w:rsidRPr="00FE1FF3">
        <w:rPr>
          <w:b/>
        </w:rPr>
        <w:t xml:space="preserve">would not </w:t>
      </w:r>
      <w:r w:rsidR="00A02E3A">
        <w:rPr>
          <w:b/>
        </w:rPr>
        <w:t>be</w:t>
      </w:r>
      <w:r w:rsidR="00A02E3A" w:rsidRPr="00FE1FF3">
        <w:rPr>
          <w:b/>
        </w:rPr>
        <w:t xml:space="preserve"> </w:t>
      </w:r>
      <w:r w:rsidR="00A02E3A">
        <w:rPr>
          <w:b/>
        </w:rPr>
        <w:t xml:space="preserve">cumulatively </w:t>
      </w:r>
      <w:r w:rsidR="00A02E3A" w:rsidRPr="00FE1FF3">
        <w:rPr>
          <w:b/>
        </w:rPr>
        <w:t>considerable</w:t>
      </w:r>
      <w:r>
        <w:t xml:space="preserve">. </w:t>
      </w:r>
    </w:p>
    <w:p w14:paraId="4DBDE6C9" w14:textId="2EE0978C" w:rsidR="00ED0285" w:rsidRDefault="00E55EB6" w:rsidP="00540E81">
      <w:pPr>
        <w:pStyle w:val="BodyText"/>
      </w:pPr>
      <w:r w:rsidRPr="00DB35A9">
        <w:t xml:space="preserve">In regard to </w:t>
      </w:r>
      <w:r>
        <w:t xml:space="preserve">inadvertent discovery of an unknown unique archaeological or subsurface </w:t>
      </w:r>
      <w:r w:rsidRPr="00DB35A9">
        <w:t>historic</w:t>
      </w:r>
      <w:r>
        <w:t>al</w:t>
      </w:r>
      <w:r w:rsidRPr="00DB35A9">
        <w:t xml:space="preserve"> resource, implementation of Mitigation Measure </w:t>
      </w:r>
      <w:r>
        <w:t>CUL-</w:t>
      </w:r>
      <w:r w:rsidR="00711824">
        <w:t>2</w:t>
      </w:r>
      <w:r w:rsidRPr="00DB35A9">
        <w:t xml:space="preserve"> </w:t>
      </w:r>
      <w:r>
        <w:t xml:space="preserve">would </w:t>
      </w:r>
      <w:r>
        <w:rPr>
          <w:spacing w:val="2"/>
        </w:rPr>
        <w:t>protect in place</w:t>
      </w:r>
      <w:r w:rsidRPr="00C810D0">
        <w:rPr>
          <w:spacing w:val="2"/>
        </w:rPr>
        <w:t xml:space="preserve">, record, or otherwise treat </w:t>
      </w:r>
      <w:r>
        <w:rPr>
          <w:spacing w:val="2"/>
        </w:rPr>
        <w:t xml:space="preserve">the </w:t>
      </w:r>
      <w:r w:rsidRPr="00C810D0">
        <w:rPr>
          <w:spacing w:val="2"/>
        </w:rPr>
        <w:t>discovered resource appropriately</w:t>
      </w:r>
      <w:r w:rsidRPr="00DB35A9">
        <w:t xml:space="preserve"> to </w:t>
      </w:r>
      <w:r>
        <w:t>reduce</w:t>
      </w:r>
      <w:r w:rsidRPr="00DB35A9">
        <w:t xml:space="preserve"> the </w:t>
      </w:r>
      <w:r>
        <w:t>CalVTP</w:t>
      </w:r>
      <w:r w:rsidR="00CC081D">
        <w:t>’</w:t>
      </w:r>
      <w:r w:rsidRPr="00DB35A9">
        <w:t xml:space="preserve">s contribution. </w:t>
      </w:r>
      <w:r>
        <w:rPr>
          <w:spacing w:val="2"/>
        </w:rPr>
        <w:t xml:space="preserve">However, given the </w:t>
      </w:r>
      <w:r>
        <w:t>large geographic extent of the treatable landscape,</w:t>
      </w:r>
      <w:r w:rsidRPr="00C810D0" w:rsidDel="00C46E1C">
        <w:rPr>
          <w:spacing w:val="2"/>
        </w:rPr>
        <w:t xml:space="preserve"> </w:t>
      </w:r>
      <w:r>
        <w:t>the wide variety in resource types and significance,</w:t>
      </w:r>
      <w:r w:rsidRPr="00C810D0" w:rsidDel="00C46E1C">
        <w:rPr>
          <w:spacing w:val="2"/>
        </w:rPr>
        <w:t xml:space="preserve"> </w:t>
      </w:r>
      <w:r>
        <w:rPr>
          <w:spacing w:val="2"/>
        </w:rPr>
        <w:t xml:space="preserve">the potential extent of damage during inadvertent excavation, it is uncertain whether this measure would avoid a </w:t>
      </w:r>
      <w:r>
        <w:t>substantial adverse change in the significance</w:t>
      </w:r>
      <w:r>
        <w:rPr>
          <w:spacing w:val="2"/>
        </w:rPr>
        <w:t xml:space="preserve"> of a unique archaeological or subsurface historical resource. Although SPRs would require every reasonable effort to identify and protect resources, there could be some rare instances where inadvertent damage of unknown resources may be extensive and a substantial adverse change in the significance of the resource may not be fully mitigated.</w:t>
      </w:r>
      <w:r w:rsidRPr="00DB35A9">
        <w:t xml:space="preserve"> Therefore, the </w:t>
      </w:r>
      <w:r>
        <w:t>CalVTP</w:t>
      </w:r>
      <w:r w:rsidR="00CC081D">
        <w:t>’</w:t>
      </w:r>
      <w:r w:rsidRPr="00DB35A9">
        <w:t xml:space="preserve">s contribution to </w:t>
      </w:r>
      <w:r>
        <w:t xml:space="preserve">a </w:t>
      </w:r>
      <w:r w:rsidRPr="00DB35A9">
        <w:t>cumulative impact</w:t>
      </w:r>
      <w:r>
        <w:t xml:space="preserve"> related to unknown unique archaeological or subsurface historical resources </w:t>
      </w:r>
      <w:r w:rsidRPr="00504298">
        <w:rPr>
          <w:b/>
        </w:rPr>
        <w:t xml:space="preserve">would </w:t>
      </w:r>
      <w:r w:rsidR="00A4362F">
        <w:rPr>
          <w:b/>
        </w:rPr>
        <w:t>be</w:t>
      </w:r>
      <w:r w:rsidRPr="00504298">
        <w:rPr>
          <w:b/>
        </w:rPr>
        <w:t xml:space="preserve"> cumulatively considerable</w:t>
      </w:r>
      <w:r w:rsidRPr="00DB35A9">
        <w:t xml:space="preserve">, and </w:t>
      </w:r>
      <w:r>
        <w:t xml:space="preserve">this </w:t>
      </w:r>
      <w:r w:rsidRPr="00DB35A9">
        <w:t xml:space="preserve">impact would be </w:t>
      </w:r>
      <w:r w:rsidRPr="00AC5EB8">
        <w:t>significant and unavoidable</w:t>
      </w:r>
      <w:r w:rsidRPr="00DB35A9">
        <w:t>. No additional mitigation, beyond that identified in Section 3.</w:t>
      </w:r>
      <w:r>
        <w:t>5</w:t>
      </w:r>
      <w:r w:rsidRPr="00DB35A9">
        <w:t xml:space="preserve">, </w:t>
      </w:r>
      <w:r w:rsidR="00CC081D">
        <w:t>“</w:t>
      </w:r>
      <w:r w:rsidRPr="00DB35A9">
        <w:t>Archaeological, Historical, and Tribal Cultural Resources,</w:t>
      </w:r>
      <w:r w:rsidR="00CC081D">
        <w:t>”</w:t>
      </w:r>
      <w:r w:rsidRPr="00DB35A9">
        <w:t xml:space="preserve"> is available to reduce the </w:t>
      </w:r>
      <w:r>
        <w:t>CalVTP</w:t>
      </w:r>
      <w:r w:rsidR="00CC081D">
        <w:t>’</w:t>
      </w:r>
      <w:r>
        <w:t>s</w:t>
      </w:r>
      <w:r w:rsidRPr="00DB35A9">
        <w:t xml:space="preserve"> contribution</w:t>
      </w:r>
      <w:r>
        <w:t xml:space="preserve"> to cumulative degradation of unique archaeological or subsurface </w:t>
      </w:r>
      <w:r w:rsidRPr="00DB35A9">
        <w:t>historic</w:t>
      </w:r>
      <w:r>
        <w:t>al</w:t>
      </w:r>
      <w:r w:rsidRPr="00DB35A9">
        <w:t xml:space="preserve"> resource.</w:t>
      </w:r>
      <w:r>
        <w:t xml:space="preserve"> </w:t>
      </w:r>
    </w:p>
    <w:p w14:paraId="0C5D5C47" w14:textId="73E935AD" w:rsidR="00711824" w:rsidRPr="000A4E0E" w:rsidRDefault="00711824" w:rsidP="00540E81">
      <w:pPr>
        <w:pStyle w:val="BodyText"/>
        <w:rPr>
          <w:rFonts w:eastAsia="Calibri" w:cs="Times New Roman"/>
          <w:strike/>
        </w:rPr>
      </w:pPr>
      <w:r w:rsidRPr="000A4E0E">
        <w:rPr>
          <w:strike/>
          <w:spacing w:val="2"/>
        </w:rPr>
        <w:t xml:space="preserve">Implementation of Mitigation Measure CUL-3 would further reduce impacts to tribal cultural resources because it would require completion of tribal consultation and identification of measures to protect any identified resource </w:t>
      </w:r>
      <w:r w:rsidR="003F04B3" w:rsidRPr="000A4E0E">
        <w:rPr>
          <w:strike/>
          <w:spacing w:val="2"/>
        </w:rPr>
        <w:t>to avoid a substantial adverse change to its significance</w:t>
      </w:r>
      <w:r w:rsidRPr="000A4E0E">
        <w:rPr>
          <w:strike/>
          <w:spacing w:val="2"/>
        </w:rPr>
        <w:t xml:space="preserve">. The Board anticipates that through implementation of SPRs, mitigation measures, and completion of the tribal consultation process, all impacts to tribal cultural resources would be reduced to a less-than-significant level. However, given that tribal consultation is ongoing, the </w:t>
      </w:r>
      <w:r w:rsidRPr="000A4E0E">
        <w:rPr>
          <w:strike/>
        </w:rPr>
        <w:t>large geographic extent of the treatable landscape, and the wide variety in resource types and significance,</w:t>
      </w:r>
      <w:r w:rsidRPr="000A4E0E">
        <w:rPr>
          <w:strike/>
          <w:spacing w:val="2"/>
        </w:rPr>
        <w:t xml:space="preserve"> it cannot be known at this time whether measures developed during consultation would adequately avoid a </w:t>
      </w:r>
      <w:r w:rsidRPr="000A4E0E">
        <w:rPr>
          <w:strike/>
        </w:rPr>
        <w:t>substantial adverse change in the significance</w:t>
      </w:r>
      <w:r w:rsidRPr="000A4E0E">
        <w:rPr>
          <w:strike/>
          <w:spacing w:val="2"/>
        </w:rPr>
        <w:t xml:space="preserve"> of a tribal cultural resource. </w:t>
      </w:r>
      <w:r w:rsidRPr="000A4E0E">
        <w:rPr>
          <w:strike/>
        </w:rPr>
        <w:t xml:space="preserve">Therefore, the CalVTP’s contribution to a cumulative impact related to tribal cultural resources </w:t>
      </w:r>
      <w:r w:rsidRPr="000A4E0E">
        <w:rPr>
          <w:b/>
          <w:strike/>
        </w:rPr>
        <w:t>would be cumulatively considerable</w:t>
      </w:r>
      <w:r w:rsidRPr="000A4E0E">
        <w:rPr>
          <w:strike/>
        </w:rPr>
        <w:t xml:space="preserve">, and this impact would be significant and unavoidable. </w:t>
      </w:r>
      <w:r w:rsidR="00DB231A" w:rsidRPr="000A4E0E">
        <w:rPr>
          <w:strike/>
        </w:rPr>
        <w:t xml:space="preserve">The Board has incorporated all feasible measures that can be identified during ongoing consultation into the SPRs and measures </w:t>
      </w:r>
      <w:r w:rsidRPr="000A4E0E">
        <w:rPr>
          <w:strike/>
        </w:rPr>
        <w:t xml:space="preserve">identified </w:t>
      </w:r>
      <w:r w:rsidR="00DB231A" w:rsidRPr="000A4E0E">
        <w:rPr>
          <w:strike/>
        </w:rPr>
        <w:t>above</w:t>
      </w:r>
      <w:r w:rsidRPr="000A4E0E">
        <w:rPr>
          <w:strike/>
        </w:rPr>
        <w:t>.</w:t>
      </w:r>
      <w:r w:rsidRPr="000A4E0E">
        <w:rPr>
          <w:b/>
          <w:strike/>
        </w:rPr>
        <w:t xml:space="preserve"> </w:t>
      </w:r>
    </w:p>
    <w:p w14:paraId="62CF51B7" w14:textId="094B946D" w:rsidR="00ED0285" w:rsidRDefault="00ED0285" w:rsidP="00ED0285">
      <w:pPr>
        <w:pStyle w:val="Heading3"/>
      </w:pPr>
      <w:r w:rsidRPr="007C2DEB">
        <w:t>Biological Resources</w:t>
      </w:r>
    </w:p>
    <w:p w14:paraId="78F0FFE8" w14:textId="31A7B622" w:rsidR="00427F80" w:rsidRPr="0016281A" w:rsidRDefault="00427F80" w:rsidP="0034398F">
      <w:pPr>
        <w:pStyle w:val="BodyText"/>
      </w:pPr>
      <w:r w:rsidRPr="0016281A">
        <w:t xml:space="preserve">The geographic scope for the biological resources cumulative analysis is the treatable landscape, as well as adjacent migration and movement corridors (e.g., rivers, streams, riparian corridors, the Pacific flyway for migratory birds, deer </w:t>
      </w:r>
      <w:r w:rsidRPr="0016281A">
        <w:lastRenderedPageBreak/>
        <w:t>migration routes)</w:t>
      </w:r>
      <w:r>
        <w:t xml:space="preserve"> that are connected to the treatable landscape</w:t>
      </w:r>
      <w:r w:rsidRPr="0016281A">
        <w:t xml:space="preserve">. Additionally, </w:t>
      </w:r>
      <w:r>
        <w:t xml:space="preserve">although not geographically defined for this analysis, </w:t>
      </w:r>
      <w:r w:rsidRPr="0016281A">
        <w:t xml:space="preserve">the cumulative context </w:t>
      </w:r>
      <w:r>
        <w:t xml:space="preserve">conceptually </w:t>
      </w:r>
      <w:r w:rsidRPr="0016281A">
        <w:t xml:space="preserve">includes </w:t>
      </w:r>
      <w:r>
        <w:t xml:space="preserve">regions of </w:t>
      </w:r>
      <w:r w:rsidRPr="0016281A">
        <w:t>the Pacific Ocean</w:t>
      </w:r>
      <w:r>
        <w:t xml:space="preserve"> essential for anadromous special-status fish that migrate to and from rivers and streams in the treatable landscape </w:t>
      </w:r>
      <w:r w:rsidRPr="0016281A">
        <w:t xml:space="preserve">(e.g., steelhead, Chinook salmon, </w:t>
      </w:r>
      <w:proofErr w:type="spellStart"/>
      <w:r w:rsidRPr="0016281A">
        <w:t>coho</w:t>
      </w:r>
      <w:proofErr w:type="spellEnd"/>
      <w:r w:rsidRPr="0016281A">
        <w:t xml:space="preserve"> salmon). Due to the treatable landscape</w:t>
      </w:r>
      <w:r w:rsidR="00CC081D">
        <w:t>’</w:t>
      </w:r>
      <w:r>
        <w:t>s expansive area</w:t>
      </w:r>
      <w:r w:rsidRPr="0016281A">
        <w:t xml:space="preserve">, the geographic scope also includes the full geographic ranges of </w:t>
      </w:r>
      <w:r w:rsidR="00B26CF0">
        <w:t xml:space="preserve">the </w:t>
      </w:r>
      <w:r w:rsidRPr="0016281A">
        <w:t>special-status species and sensitive natural communities that occur within the treatable landscape</w:t>
      </w:r>
      <w:r w:rsidR="00B26CF0">
        <w:t xml:space="preserve">. This is because </w:t>
      </w:r>
      <w:r w:rsidRPr="0016281A">
        <w:t>impacts to special-status species and species habitat within the treatable landscape could have population-wide effects</w:t>
      </w:r>
      <w:r w:rsidR="00B26CF0">
        <w:t xml:space="preserve"> that extend beyond the treatable landscape</w:t>
      </w:r>
      <w:r w:rsidRPr="0016281A">
        <w:t xml:space="preserve">. Because many sensitive natural communities have a very limited number of known occurrences across the state, impacts within the treatable landscape could contribute to a loss of these unique vegetation types statewide. </w:t>
      </w:r>
    </w:p>
    <w:p w14:paraId="50966B01" w14:textId="498DB903" w:rsidR="00427F80" w:rsidRPr="0016281A" w:rsidRDefault="00427F80" w:rsidP="0034398F">
      <w:pPr>
        <w:pStyle w:val="BodyText"/>
      </w:pPr>
      <w:r w:rsidRPr="0016281A">
        <w:t xml:space="preserve">As discussed </w:t>
      </w:r>
      <w:r>
        <w:t xml:space="preserve">above </w:t>
      </w:r>
      <w:r w:rsidRPr="0016281A">
        <w:t>in Section 4.</w:t>
      </w:r>
      <w:r w:rsidR="00873E14">
        <w:t>3</w:t>
      </w:r>
      <w:r w:rsidRPr="0016281A">
        <w:t xml:space="preserve">, </w:t>
      </w:r>
      <w:r w:rsidR="00CC081D">
        <w:t>“</w:t>
      </w:r>
      <w:r w:rsidRPr="0016281A">
        <w:t>Related Project and Plans,</w:t>
      </w:r>
      <w:r w:rsidR="00CC081D">
        <w:t>”</w:t>
      </w:r>
      <w:r>
        <w:t xml:space="preserve"> </w:t>
      </w:r>
      <w:r w:rsidRPr="0016281A">
        <w:t xml:space="preserve">several similar past, present, and reasonably foreseeable projects have and likely will result in impacts to special-status plants, special-status wildlife, common </w:t>
      </w:r>
      <w:r w:rsidR="00873E14">
        <w:t>wildlife</w:t>
      </w:r>
      <w:r w:rsidRPr="0016281A">
        <w:t xml:space="preserve"> </w:t>
      </w:r>
      <w:r w:rsidR="00873E14">
        <w:t xml:space="preserve">(e.g., </w:t>
      </w:r>
      <w:r w:rsidRPr="0016281A">
        <w:t>native nesting birds</w:t>
      </w:r>
      <w:r w:rsidR="00873E14">
        <w:t>)</w:t>
      </w:r>
      <w:r w:rsidRPr="0016281A">
        <w:t xml:space="preserve">, sensitive natural communities, riparian habitat, oak woodlands, chaparral and coastal sage scrub, state or federally protected wetlands, wildlife movement corridors, and wildlife nurseries. These projects include </w:t>
      </w:r>
      <w:r>
        <w:t>past</w:t>
      </w:r>
      <w:r w:rsidRPr="0016281A">
        <w:t xml:space="preserve"> fire suppression</w:t>
      </w:r>
      <w:r>
        <w:t xml:space="preserve"> activities that have been widespread</w:t>
      </w:r>
      <w:r w:rsidRPr="0016281A">
        <w:t xml:space="preserve">, other vegetation management efforts (e.g., CAL FIRE VMP, </w:t>
      </w:r>
      <w:r w:rsidR="00D4415D" w:rsidRPr="00C25335">
        <w:t>EO N-05-</w:t>
      </w:r>
      <w:r w:rsidR="00D4415D" w:rsidRPr="00D4415D">
        <w:t>19</w:t>
      </w:r>
      <w:r w:rsidRPr="0016281A">
        <w:t>, vegetation treatment</w:t>
      </w:r>
      <w:r w:rsidR="00D4415D">
        <w:t>s</w:t>
      </w:r>
      <w:r w:rsidRPr="0016281A">
        <w:t xml:space="preserve"> implemented by local agencies outside of the SRA), </w:t>
      </w:r>
      <w:r>
        <w:t xml:space="preserve">decades of </w:t>
      </w:r>
      <w:r w:rsidRPr="0016281A">
        <w:t xml:space="preserve">timber harvest, </w:t>
      </w:r>
      <w:r>
        <w:t>recreation and transportation projects</w:t>
      </w:r>
      <w:r w:rsidR="00D4415D">
        <w:t>,</w:t>
      </w:r>
      <w:r>
        <w:t xml:space="preserve"> maintenance activities, </w:t>
      </w:r>
      <w:r w:rsidRPr="0016281A">
        <w:t xml:space="preserve">and urban development as </w:t>
      </w:r>
      <w:r>
        <w:t>guided by</w:t>
      </w:r>
      <w:r w:rsidRPr="0016281A">
        <w:t xml:space="preserve"> city and county general plans and specific plans. </w:t>
      </w:r>
      <w:r w:rsidRPr="00D01A56">
        <w:t xml:space="preserve">While many of these projects would be discretionary and subject to environmental review under CEQA and would implement mitigation measures to reduce or compensate for adverse effects on sensitive natural resources, some projects have not been subject </w:t>
      </w:r>
      <w:r w:rsidR="00873E14">
        <w:t xml:space="preserve">to </w:t>
      </w:r>
      <w:r w:rsidRPr="00D01A56">
        <w:t xml:space="preserve">CEQA review and have potentially resulted in adverse effects on these resources without compensation. In addition to these projects, agricultural conversion, </w:t>
      </w:r>
      <w:r w:rsidR="001C488C">
        <w:t xml:space="preserve">herbicide and insecticide use, </w:t>
      </w:r>
      <w:r w:rsidR="00D4415D">
        <w:t>resource extraction</w:t>
      </w:r>
      <w:r w:rsidRPr="00D01A56">
        <w:t>, wildfire</w:t>
      </w:r>
      <w:r w:rsidRPr="0016281A">
        <w:t xml:space="preserve">, drought, </w:t>
      </w:r>
      <w:r>
        <w:t xml:space="preserve">climate anomalies, </w:t>
      </w:r>
      <w:r w:rsidRPr="0016281A">
        <w:t>nitrogen deposition (from air pollution), invasive species, and disease (pathogens) are contributing to the decline of many sensitive natural communities and sensitive habitats across the state and within the treatable landscape.</w:t>
      </w:r>
      <w:r w:rsidRPr="0073762F">
        <w:t xml:space="preserve"> </w:t>
      </w:r>
      <w:r>
        <w:t>Loss</w:t>
      </w:r>
      <w:r w:rsidRPr="0016281A">
        <w:t xml:space="preserve"> of habitat, including sensitive natural communities and sensitive habitats, from livestock grazing and conversion to rangeland has </w:t>
      </w:r>
      <w:r>
        <w:t xml:space="preserve">generally </w:t>
      </w:r>
      <w:r w:rsidRPr="0016281A">
        <w:t>not been subject to CEQA review and has been largely unmitigated.</w:t>
      </w:r>
      <w:r>
        <w:t xml:space="preserve"> </w:t>
      </w:r>
    </w:p>
    <w:p w14:paraId="3593EBCB" w14:textId="13B20868" w:rsidR="00427F80" w:rsidRDefault="00427F80" w:rsidP="0034398F">
      <w:pPr>
        <w:pStyle w:val="BodyText"/>
      </w:pPr>
      <w:r w:rsidRPr="0016281A">
        <w:t xml:space="preserve">The </w:t>
      </w:r>
      <w:r w:rsidR="00D4415D">
        <w:t>35 priority projects identified under EO N-05-19</w:t>
      </w:r>
      <w:r w:rsidRPr="0016281A">
        <w:t xml:space="preserve"> would include treatment of approximately 9</w:t>
      </w:r>
      <w:r w:rsidR="00D4415D">
        <w:t>5</w:t>
      </w:r>
      <w:r w:rsidRPr="0016281A">
        <w:t>,000 acres across 35 priority projects. Due to the emergency nature of these projects, they would be exempt from CEQA review. CAL FIRE would identify and avoid sensitive natural resources through database (CNDDB) searches, presence of trained crews (e.g., RP</w:t>
      </w:r>
      <w:r w:rsidR="00873E14">
        <w:t>F</w:t>
      </w:r>
      <w:r w:rsidRPr="0016281A">
        <w:t xml:space="preserve">s) onsite to identify natural resources not included in the CNDDB, and consultation with CDFW, </w:t>
      </w:r>
      <w:r w:rsidR="00CB665B">
        <w:t>State Water Resources Control Board (</w:t>
      </w:r>
      <w:r w:rsidRPr="0016281A">
        <w:t>SWRCB</w:t>
      </w:r>
      <w:r w:rsidR="00CB665B">
        <w:t>)</w:t>
      </w:r>
      <w:r w:rsidRPr="0016281A">
        <w:t xml:space="preserve">, and </w:t>
      </w:r>
      <w:r w:rsidR="00160E7A">
        <w:t>Regional Water Quality Control Board</w:t>
      </w:r>
      <w:r w:rsidRPr="0016281A">
        <w:t xml:space="preserve">s, including implementation of best management practices </w:t>
      </w:r>
      <w:r w:rsidR="00873E14">
        <w:t>developed</w:t>
      </w:r>
      <w:r w:rsidR="00873E14" w:rsidRPr="0016281A">
        <w:t xml:space="preserve"> </w:t>
      </w:r>
      <w:r w:rsidRPr="0016281A">
        <w:t>by CDFW.</w:t>
      </w:r>
      <w:r w:rsidRPr="0073762F">
        <w:t xml:space="preserve"> </w:t>
      </w:r>
      <w:r>
        <w:t xml:space="preserve">These measures would reduce but not fully mitigate the likelihood of adverse effects on sensitive natural resources. </w:t>
      </w:r>
    </w:p>
    <w:p w14:paraId="06C989D7" w14:textId="442B7FAD" w:rsidR="00427F80" w:rsidRPr="0016281A" w:rsidRDefault="00427F80" w:rsidP="0034398F">
      <w:pPr>
        <w:pStyle w:val="BodyText"/>
      </w:pPr>
      <w:r>
        <w:t>For the reasons discussed above, the existing cumulative impacts of these projects, activities, and disruptions to ecosystem and biophysical processes (e.g., climate change, invasive species invasions) on special-status species, sensitive natural communities and habitats, and wildlife movement corridors and nursery sites are considered significant.</w:t>
      </w:r>
    </w:p>
    <w:p w14:paraId="7CB9AE54" w14:textId="05ACE51C" w:rsidR="00427F80" w:rsidRDefault="00427F80" w:rsidP="0034398F">
      <w:pPr>
        <w:pStyle w:val="BodyText"/>
      </w:pPr>
      <w:r>
        <w:t xml:space="preserve">As analyzed and described in Section 3.6, </w:t>
      </w:r>
      <w:r w:rsidR="00CC081D">
        <w:t>“</w:t>
      </w:r>
      <w:r>
        <w:t>Biological Resources,</w:t>
      </w:r>
      <w:r w:rsidR="00CC081D">
        <w:t>”</w:t>
      </w:r>
      <w:r>
        <w:t xml:space="preserve"> i</w:t>
      </w:r>
      <w:r w:rsidRPr="0016281A">
        <w:t xml:space="preserve">mplementation of treatment activities under the proposed CalVTP would result in </w:t>
      </w:r>
      <w:r>
        <w:t xml:space="preserve">several direct and indirect </w:t>
      </w:r>
      <w:r w:rsidRPr="0016281A">
        <w:t xml:space="preserve">impacts related to the disturbance or loss of special-status plants, special-status wildlife and wildlife habitat, common </w:t>
      </w:r>
      <w:r w:rsidR="00873E14">
        <w:t>wildlife</w:t>
      </w:r>
      <w:r w:rsidRPr="0016281A">
        <w:t xml:space="preserve">, riparian habitat, sensitive natural communities, state or federally protected wetlands, wildlife movement corridors, and wildlife nurseries (See section 3.6, </w:t>
      </w:r>
      <w:r w:rsidR="00CC081D">
        <w:t>“</w:t>
      </w:r>
      <w:r w:rsidRPr="0016281A">
        <w:t>Biological Resources</w:t>
      </w:r>
      <w:r w:rsidR="00CC081D">
        <w:t>”</w:t>
      </w:r>
      <w:r w:rsidRPr="0016281A">
        <w:t>). SPRs w</w:t>
      </w:r>
      <w:r>
        <w:t>ill</w:t>
      </w:r>
      <w:r w:rsidRPr="0016281A">
        <w:t xml:space="preserve"> be implemented as part of the proposed CalVTP </w:t>
      </w:r>
      <w:r>
        <w:t>to minimize, avoid, and monitor potential adverse effects</w:t>
      </w:r>
      <w:r w:rsidRPr="0016281A">
        <w:t xml:space="preserve">, many of which </w:t>
      </w:r>
      <w:r>
        <w:t>were developed specifically</w:t>
      </w:r>
      <w:r w:rsidRPr="0016281A">
        <w:t xml:space="preserve"> to</w:t>
      </w:r>
      <w:r>
        <w:t xml:space="preserve"> protect</w:t>
      </w:r>
      <w:r w:rsidRPr="0016281A">
        <w:t xml:space="preserve"> biological resources. Implementation of these SPRs </w:t>
      </w:r>
      <w:r w:rsidR="00A4785B">
        <w:t xml:space="preserve">would </w:t>
      </w:r>
      <w:r w:rsidRPr="0016281A">
        <w:t xml:space="preserve">reduce the </w:t>
      </w:r>
      <w:r>
        <w:t>likelihood</w:t>
      </w:r>
      <w:r w:rsidRPr="0016281A">
        <w:t xml:space="preserve"> </w:t>
      </w:r>
      <w:r>
        <w:t xml:space="preserve">and magnitude </w:t>
      </w:r>
      <w:r w:rsidRPr="0016281A">
        <w:t xml:space="preserve">of </w:t>
      </w:r>
      <w:r w:rsidR="0096306A">
        <w:t xml:space="preserve">many </w:t>
      </w:r>
      <w:r>
        <w:t xml:space="preserve">potential </w:t>
      </w:r>
      <w:r w:rsidRPr="0016281A">
        <w:t xml:space="preserve">adverse effects </w:t>
      </w:r>
      <w:r>
        <w:t>on</w:t>
      </w:r>
      <w:r w:rsidRPr="0016281A">
        <w:t xml:space="preserve"> biological resources; however, impacts would not be avoided entirely. </w:t>
      </w:r>
      <w:r>
        <w:t>Some r</w:t>
      </w:r>
      <w:r w:rsidRPr="0016281A">
        <w:t xml:space="preserve">esidual impacts to biological resources after implementation of SPRs, in combination with other past, present, and reasonably foreseeable projects that have resulted or would result in similar impacts would </w:t>
      </w:r>
      <w:r>
        <w:t>contribute to the</w:t>
      </w:r>
      <w:r w:rsidRPr="0016281A">
        <w:t xml:space="preserve"> significant cumulative </w:t>
      </w:r>
      <w:r>
        <w:t>effects on</w:t>
      </w:r>
      <w:r w:rsidRPr="0016281A">
        <w:t xml:space="preserve"> these biological resources</w:t>
      </w:r>
      <w:r>
        <w:t xml:space="preserve"> if left unmitigated</w:t>
      </w:r>
      <w:r w:rsidRPr="0016281A">
        <w:t xml:space="preserve">. </w:t>
      </w:r>
    </w:p>
    <w:p w14:paraId="7A61D9AD" w14:textId="54DE17C5" w:rsidR="00427F80" w:rsidRPr="0016281A" w:rsidRDefault="00427F80" w:rsidP="00427F80">
      <w:pPr>
        <w:pStyle w:val="BodyText"/>
      </w:pPr>
      <w:r>
        <w:lastRenderedPageBreak/>
        <w:t xml:space="preserve">The following discusses residual cumulative impacts for each biological resource addressed in this PEIR in consideration of the relevant mitigation measures </w:t>
      </w:r>
      <w:r w:rsidR="003F5B92">
        <w:t xml:space="preserve">included </w:t>
      </w:r>
      <w:r>
        <w:t xml:space="preserve">in Section 3.6, </w:t>
      </w:r>
      <w:r w:rsidR="00CC081D">
        <w:t>“</w:t>
      </w:r>
      <w:r>
        <w:t>Biological Resources,</w:t>
      </w:r>
      <w:r w:rsidR="00CC081D">
        <w:t>”</w:t>
      </w:r>
      <w:r>
        <w:t xml:space="preserve"> which would be implemented in addition to the SPRs.</w:t>
      </w:r>
    </w:p>
    <w:p w14:paraId="16E8CA25" w14:textId="0D803350" w:rsidR="00427F80" w:rsidRPr="005B2CDD" w:rsidRDefault="00232FA7" w:rsidP="00232FA7">
      <w:pPr>
        <w:pStyle w:val="Heading4"/>
      </w:pPr>
      <w:r>
        <w:t>Special-Status Plants</w:t>
      </w:r>
    </w:p>
    <w:p w14:paraId="7B9FB080" w14:textId="6742CE09" w:rsidR="00427F80" w:rsidRPr="00250DA8" w:rsidRDefault="00427F80" w:rsidP="00250DA8">
      <w:pPr>
        <w:pStyle w:val="BodyText"/>
      </w:pPr>
      <w:r w:rsidRPr="0016281A">
        <w:t xml:space="preserve">Treatment activities under the proposed CalVTP would result in ground disturbance, vegetation removal, and </w:t>
      </w:r>
      <w:r w:rsidR="000A220B">
        <w:t>modification</w:t>
      </w:r>
      <w:r w:rsidR="000A220B" w:rsidRPr="0016281A">
        <w:t xml:space="preserve"> </w:t>
      </w:r>
      <w:r w:rsidRPr="0016281A">
        <w:t xml:space="preserve">of habitat, which could result in direct and indirect loss of special-status plants and </w:t>
      </w:r>
      <w:r w:rsidR="000A220B">
        <w:t xml:space="preserve">or modification of </w:t>
      </w:r>
      <w:r w:rsidRPr="0016281A">
        <w:t xml:space="preserve">their habitat. </w:t>
      </w:r>
      <w:r>
        <w:t>Even with implementation of the SPRs described previously, t</w:t>
      </w:r>
      <w:r w:rsidRPr="0016281A">
        <w:t xml:space="preserve">his would contribute to significant cumulative impacts. </w:t>
      </w:r>
      <w:r>
        <w:t>However, i</w:t>
      </w:r>
      <w:r w:rsidRPr="0016281A">
        <w:t xml:space="preserve">mplementation of Mitigation Measures BIO-1a, BIO-1b, </w:t>
      </w:r>
      <w:r>
        <w:t xml:space="preserve">and </w:t>
      </w:r>
      <w:r w:rsidRPr="0016281A">
        <w:t xml:space="preserve">BIO-1c would </w:t>
      </w:r>
      <w:r>
        <w:t>reduce</w:t>
      </w:r>
      <w:r w:rsidRPr="0016281A">
        <w:t xml:space="preserve"> the proposed CalVTP</w:t>
      </w:r>
      <w:r w:rsidR="00CC081D">
        <w:t>’</w:t>
      </w:r>
      <w:r w:rsidRPr="0016281A">
        <w:t xml:space="preserve">s contribution to this impact, because they would require project proponents to identify and avoid special-status plant occurrences to the extent feasible and provide compensation if avoidance is not feasible. Thus, </w:t>
      </w:r>
      <w:r>
        <w:t>with</w:t>
      </w:r>
      <w:r w:rsidRPr="0016281A">
        <w:t xml:space="preserve"> implementation of these </w:t>
      </w:r>
      <w:r w:rsidR="00707BF2">
        <w:t xml:space="preserve">SPRs and </w:t>
      </w:r>
      <w:r w:rsidRPr="0016281A">
        <w:t xml:space="preserve">mitigation measures, </w:t>
      </w:r>
      <w:r>
        <w:t xml:space="preserve">implementation </w:t>
      </w:r>
      <w:r w:rsidR="00707BF2">
        <w:t xml:space="preserve">of the CalVTP </w:t>
      </w:r>
      <w:r>
        <w:t>is not expected to substantially reduce the abundance or viability of special-status plant populations</w:t>
      </w:r>
      <w:r w:rsidR="00707BF2">
        <w:t>.</w:t>
      </w:r>
      <w:r>
        <w:t xml:space="preserve"> </w:t>
      </w:r>
      <w:r w:rsidR="00707BF2">
        <w:t>T</w:t>
      </w:r>
      <w:r w:rsidRPr="0016281A">
        <w:t xml:space="preserve">he </w:t>
      </w:r>
      <w:r w:rsidR="00707BF2">
        <w:t>CalVTP</w:t>
      </w:r>
      <w:r w:rsidR="00CC081D">
        <w:t>’</w:t>
      </w:r>
      <w:r w:rsidR="00707BF2">
        <w:t xml:space="preserve">s </w:t>
      </w:r>
      <w:r w:rsidRPr="0016281A">
        <w:t xml:space="preserve">contribution to significant cumulative impacts to special-status plants </w:t>
      </w:r>
      <w:r w:rsidRPr="0016281A">
        <w:rPr>
          <w:b/>
        </w:rPr>
        <w:t>would not be cumulatively considerable</w:t>
      </w:r>
      <w:r w:rsidRPr="0016281A">
        <w:t>.</w:t>
      </w:r>
    </w:p>
    <w:p w14:paraId="38430E25" w14:textId="22834CF2" w:rsidR="00427F80" w:rsidRPr="005B2CDD" w:rsidRDefault="00232FA7" w:rsidP="00232FA7">
      <w:pPr>
        <w:pStyle w:val="Heading4"/>
      </w:pPr>
      <w:r>
        <w:t>Special-Status Wildlife</w:t>
      </w:r>
    </w:p>
    <w:p w14:paraId="21810C3D" w14:textId="33D83627" w:rsidR="00427F80" w:rsidRDefault="00427F80" w:rsidP="00232FA7">
      <w:pPr>
        <w:pStyle w:val="BodyText"/>
      </w:pPr>
      <w:r w:rsidRPr="0016281A">
        <w:t xml:space="preserve">Treatment activities under the proposed CalVTP would result in ground disturbance; vegetation removal; </w:t>
      </w:r>
      <w:r w:rsidR="005828AC">
        <w:t>modification</w:t>
      </w:r>
      <w:r w:rsidR="005828AC" w:rsidRPr="0016281A">
        <w:t xml:space="preserve"> </w:t>
      </w:r>
      <w:r w:rsidRPr="0016281A">
        <w:t xml:space="preserve">of habitat; </w:t>
      </w:r>
      <w:r w:rsidR="00797DDC" w:rsidRPr="00797DDC">
        <w:rPr>
          <w:u w:val="single"/>
        </w:rPr>
        <w:t xml:space="preserve">use of hazardous materials and </w:t>
      </w:r>
      <w:r w:rsidR="00FA3703" w:rsidRPr="00FA3703">
        <w:rPr>
          <w:u w:val="single"/>
        </w:rPr>
        <w:t xml:space="preserve">prescribed burn </w:t>
      </w:r>
      <w:r w:rsidR="00797DDC" w:rsidRPr="00FA3703">
        <w:rPr>
          <w:u w:val="single"/>
        </w:rPr>
        <w:t>accelerants</w:t>
      </w:r>
      <w:r w:rsidR="00797DDC" w:rsidRPr="00797DDC">
        <w:rPr>
          <w:u w:val="single"/>
        </w:rPr>
        <w:t>;</w:t>
      </w:r>
      <w:r w:rsidR="00797DDC">
        <w:t xml:space="preserve"> </w:t>
      </w:r>
      <w:r w:rsidRPr="0016281A">
        <w:t xml:space="preserve">and the use of heavy machinery, vehicles, and large crews, which could result in the disturbance or direct loss of special-status wildlife. Large-scale loss of wildlife habitat </w:t>
      </w:r>
      <w:r w:rsidR="005828AC">
        <w:t xml:space="preserve">function </w:t>
      </w:r>
      <w:r w:rsidRPr="0016281A">
        <w:t xml:space="preserve">could also occur as a result of treatment activities, especially prescribed burning and mechanical treatment activities. Several special-status wildlife species have been adversely affected as a result of historic and ongoing habitat loss across their range, which in some cases has been a </w:t>
      </w:r>
      <w:r>
        <w:t xml:space="preserve">contributing </w:t>
      </w:r>
      <w:r w:rsidRPr="0016281A">
        <w:t xml:space="preserve">factor in their listing under ESA or CESA. Other special-status wildlife species have extremely limited ranges or narrow habitat requirements; thus, </w:t>
      </w:r>
      <w:r w:rsidR="005867F0">
        <w:t>loss</w:t>
      </w:r>
      <w:r w:rsidR="005867F0" w:rsidRPr="0016281A">
        <w:t xml:space="preserve"> </w:t>
      </w:r>
      <w:r w:rsidRPr="0016281A">
        <w:t xml:space="preserve">of habitat </w:t>
      </w:r>
      <w:r w:rsidR="005828AC">
        <w:t xml:space="preserve">function </w:t>
      </w:r>
      <w:r w:rsidRPr="0016281A">
        <w:t>within the range of these species could result in the</w:t>
      </w:r>
      <w:r w:rsidR="00AA348D">
        <w:t xml:space="preserve"> narrowing of</w:t>
      </w:r>
      <w:r w:rsidRPr="0016281A">
        <w:t xml:space="preserve"> exclusion of the species from its range. This would contribute to significant cumulative impacts. Mitigation Measures BIO-2a, BIO-2b, BIO-2c, BIO-2d, BIO-2e, BIO-2f, BIO-2g</w:t>
      </w:r>
      <w:r w:rsidR="001C488C">
        <w:t>, BIO-2h</w:t>
      </w:r>
      <w:r w:rsidRPr="0016281A">
        <w:t xml:space="preserve"> would </w:t>
      </w:r>
      <w:r>
        <w:t>reduce these direct and indirect</w:t>
      </w:r>
      <w:r w:rsidRPr="0016281A">
        <w:t xml:space="preserve"> impacts</w:t>
      </w:r>
      <w:r>
        <w:t xml:space="preserve"> to less-than-significant levels</w:t>
      </w:r>
      <w:r w:rsidRPr="0016281A">
        <w:t xml:space="preserve"> </w:t>
      </w:r>
      <w:r w:rsidR="001C488C">
        <w:t xml:space="preserve">for all special-status wildlife other than bumble bees </w:t>
      </w:r>
      <w:r w:rsidRPr="0016281A">
        <w:t xml:space="preserve">because </w:t>
      </w:r>
      <w:r>
        <w:t xml:space="preserve">protective </w:t>
      </w:r>
      <w:r w:rsidRPr="0016281A">
        <w:t xml:space="preserve">actions including implementation of no-disturbance buffers, </w:t>
      </w:r>
      <w:r w:rsidR="005867F0">
        <w:t xml:space="preserve">avoidance of sensitive period of the species’ life history, </w:t>
      </w:r>
      <w:r w:rsidRPr="0016281A">
        <w:t xml:space="preserve">requirements for retention of </w:t>
      </w:r>
      <w:r w:rsidR="005867F0">
        <w:t>essential</w:t>
      </w:r>
      <w:r w:rsidR="005867F0" w:rsidRPr="0016281A">
        <w:t xml:space="preserve"> </w:t>
      </w:r>
      <w:r w:rsidRPr="0016281A">
        <w:t xml:space="preserve">wildlife habitat features (e.g., </w:t>
      </w:r>
      <w:r w:rsidR="005867F0">
        <w:t xml:space="preserve">tree snags, woody debris, </w:t>
      </w:r>
      <w:r w:rsidRPr="0016281A">
        <w:t>elderberry shrubs, host plants for butterflies listed under ESA, habitat for insects and other terrestrial invertebrates),</w:t>
      </w:r>
      <w:r w:rsidR="005867F0">
        <w:t xml:space="preserve"> compensation for unavoidable loss of special-status wildlife species or habitat function,</w:t>
      </w:r>
      <w:r w:rsidRPr="0016281A">
        <w:t xml:space="preserve"> and measures to avoid disease transmission between domestic livestock and special-status ungulates would reduce the potential impacts of injury, mortality, or other disturbance on individual animals and habitat. These mitigation measures would </w:t>
      </w:r>
      <w:r>
        <w:t>substantially reduce</w:t>
      </w:r>
      <w:r w:rsidRPr="0016281A">
        <w:t xml:space="preserve"> the CalVTP</w:t>
      </w:r>
      <w:r w:rsidR="00CC081D">
        <w:t>’</w:t>
      </w:r>
      <w:r w:rsidRPr="0016281A">
        <w:t>s contribution to cumulative impacts to special-status wildlife and wildlife habitat</w:t>
      </w:r>
      <w:r w:rsidR="00524D67">
        <w:t>, except for bumble bees</w:t>
      </w:r>
      <w:r w:rsidR="00707BF2">
        <w:t>. Therefore, the CalVTP</w:t>
      </w:r>
      <w:r w:rsidR="00CC081D">
        <w:t>’</w:t>
      </w:r>
      <w:r w:rsidR="00707BF2">
        <w:t>s contribution</w:t>
      </w:r>
      <w:r w:rsidRPr="0016281A">
        <w:t xml:space="preserve"> </w:t>
      </w:r>
      <w:r w:rsidRPr="0016281A">
        <w:rPr>
          <w:b/>
        </w:rPr>
        <w:t>would not be cumulatively considerable</w:t>
      </w:r>
      <w:r w:rsidRPr="0016281A">
        <w:t xml:space="preserve">. </w:t>
      </w:r>
    </w:p>
    <w:p w14:paraId="231B6ACD" w14:textId="77777777" w:rsidR="00B43760" w:rsidRDefault="00AA348D" w:rsidP="00B43760">
      <w:pPr>
        <w:pStyle w:val="BodyText"/>
      </w:pPr>
      <w:r w:rsidRPr="00A016AB">
        <w:t xml:space="preserve">Due to evidence of </w:t>
      </w:r>
      <w:r>
        <w:t xml:space="preserve">widespread </w:t>
      </w:r>
      <w:r w:rsidRPr="00A016AB">
        <w:t xml:space="preserve">population declines, the endangered or critically endangered status assigned by the International Union for Conservation of Nature, and extensive public comments, the California Fish and Game Commission voted </w:t>
      </w:r>
      <w:r>
        <w:t>in</w:t>
      </w:r>
      <w:r w:rsidRPr="00A016AB">
        <w:t xml:space="preserve"> June 2019 to accept a petition to list four bumble bee species (Crotch bumble bee, Franklin’s bumble bee, </w:t>
      </w:r>
      <w:proofErr w:type="spellStart"/>
      <w:r w:rsidRPr="00A016AB">
        <w:t>Suckley</w:t>
      </w:r>
      <w:proofErr w:type="spellEnd"/>
      <w:r w:rsidRPr="00A016AB">
        <w:t xml:space="preserve"> cuckoo bumble bee, and western bumble bee) for protection under CESA. The factors that pose a threat to the survival of the</w:t>
      </w:r>
      <w:r>
        <w:t>se</w:t>
      </w:r>
      <w:r w:rsidRPr="00A016AB">
        <w:t xml:space="preserve"> special-status bumble bees include habitat loss or modification due to agriculture, development, high-intensity fire, fire suppression, and herbicide use; disease; and climate change (Xerces Society et al. 2018).</w:t>
      </w:r>
      <w:r>
        <w:t xml:space="preserve"> </w:t>
      </w:r>
      <w:r w:rsidR="00A26D39">
        <w:t xml:space="preserve">Vegetation treatment under the proposed CalVTP would remove </w:t>
      </w:r>
      <w:r w:rsidR="001D10A7">
        <w:t xml:space="preserve">floral resources for special-status bumble bees and </w:t>
      </w:r>
      <w:r w:rsidR="00A26D39" w:rsidRPr="00A016AB">
        <w:t xml:space="preserve">prescribed </w:t>
      </w:r>
      <w:r w:rsidR="00A26D39">
        <w:t>burning</w:t>
      </w:r>
      <w:r w:rsidR="00A26D39" w:rsidRPr="00A016AB">
        <w:t xml:space="preserve">, soil disturbance, or </w:t>
      </w:r>
      <w:r w:rsidR="00A26D39">
        <w:t>use</w:t>
      </w:r>
      <w:r w:rsidR="00A26D39" w:rsidRPr="00A016AB">
        <w:t xml:space="preserve"> of heavy equipment could kill</w:t>
      </w:r>
      <w:r w:rsidR="00A26D39">
        <w:t xml:space="preserve"> individuals or</w:t>
      </w:r>
      <w:r w:rsidR="00A26D39" w:rsidRPr="00A016AB">
        <w:t xml:space="preserve"> crush or disturb overwintering or nesting colonies</w:t>
      </w:r>
      <w:r w:rsidR="001D10A7">
        <w:t>. This contribution to ongoing loss of individuals and degradation of habitat would be cumulatively considerable. Mitigation Measure BIO-2g would reduce potential impacts on special-status bumble bees by requiring avoidance of prescribed burning and herbicide treatment within the flight season and retention of suitable habitat in the range of these species or compensation for unavoidable loss of special-status bumble bees or habitat function.</w:t>
      </w:r>
      <w:r w:rsidR="001D10A7" w:rsidRPr="001D10A7">
        <w:t xml:space="preserve"> </w:t>
      </w:r>
      <w:r w:rsidR="001D10A7">
        <w:t xml:space="preserve">As described in Section 3.6 “Biological Resources”, </w:t>
      </w:r>
      <w:r w:rsidR="001D10A7" w:rsidRPr="00A016AB">
        <w:t xml:space="preserve">these species have </w:t>
      </w:r>
      <w:r w:rsidR="001D10A7">
        <w:t xml:space="preserve">not yet </w:t>
      </w:r>
      <w:r w:rsidR="001D10A7" w:rsidRPr="00A016AB">
        <w:t xml:space="preserve">been </w:t>
      </w:r>
      <w:r w:rsidR="001D10A7">
        <w:t xml:space="preserve">well </w:t>
      </w:r>
      <w:r w:rsidR="001D10A7" w:rsidRPr="00A016AB">
        <w:t xml:space="preserve">studied and </w:t>
      </w:r>
      <w:r w:rsidR="001D10A7">
        <w:lastRenderedPageBreak/>
        <w:t xml:space="preserve">nesting and overwintering colonies </w:t>
      </w:r>
      <w:r w:rsidR="001D10A7" w:rsidRPr="00A016AB">
        <w:t>are difficult to detect</w:t>
      </w:r>
      <w:r w:rsidR="001D10A7">
        <w:t xml:space="preserve">. </w:t>
      </w:r>
      <w:r w:rsidR="00A26D39">
        <w:t xml:space="preserve">With the current state of the science and </w:t>
      </w:r>
      <w:r w:rsidR="001D10A7">
        <w:t xml:space="preserve">limited knowledge of the </w:t>
      </w:r>
      <w:r w:rsidR="00A26D39">
        <w:t>species</w:t>
      </w:r>
      <w:r w:rsidR="001D10A7">
        <w:t xml:space="preserve">’ life history and behaviors, </w:t>
      </w:r>
      <w:r w:rsidR="00A26D39">
        <w:t xml:space="preserve">if underground colonies cannot be detected, they cannot be avoided and, </w:t>
      </w:r>
      <w:r w:rsidR="001D10A7">
        <w:t xml:space="preserve">it is possible that </w:t>
      </w:r>
      <w:r w:rsidR="001D10A7" w:rsidRPr="00A016AB">
        <w:t>populations of these species would be reduced below self-sustaining levels</w:t>
      </w:r>
      <w:r w:rsidR="001D10A7">
        <w:t>, and</w:t>
      </w:r>
      <w:r w:rsidR="001D10A7" w:rsidRPr="00A016AB">
        <w:t xml:space="preserve"> </w:t>
      </w:r>
      <w:r w:rsidR="001D10A7">
        <w:t>t</w:t>
      </w:r>
      <w:r w:rsidR="001D10A7" w:rsidRPr="00A016AB">
        <w:t xml:space="preserve">reatment activities </w:t>
      </w:r>
      <w:r w:rsidR="001D10A7">
        <w:t>c</w:t>
      </w:r>
      <w:r w:rsidR="001D10A7" w:rsidRPr="00A016AB">
        <w:t>ould substantially reduce the number or restrict the range of species</w:t>
      </w:r>
      <w:r w:rsidR="001D10A7">
        <w:t>.</w:t>
      </w:r>
      <w:r w:rsidR="00A26D39">
        <w:t xml:space="preserve"> Therefore, </w:t>
      </w:r>
      <w:r w:rsidR="001D10A7">
        <w:t xml:space="preserve">despite implementation of mitigation, </w:t>
      </w:r>
      <w:r w:rsidR="00A26D39">
        <w:t xml:space="preserve">the CalVTP’s contribution to </w:t>
      </w:r>
      <w:r w:rsidR="001D10A7">
        <w:t>impacts to special-status bees</w:t>
      </w:r>
      <w:r w:rsidR="00A26D39">
        <w:t xml:space="preserve"> </w:t>
      </w:r>
      <w:r w:rsidR="00A26D39" w:rsidRPr="00AC5EB8">
        <w:rPr>
          <w:b/>
        </w:rPr>
        <w:t xml:space="preserve">would </w:t>
      </w:r>
      <w:r w:rsidR="00A26D39" w:rsidRPr="00430C30">
        <w:rPr>
          <w:b/>
        </w:rPr>
        <w:t xml:space="preserve">remain </w:t>
      </w:r>
      <w:r w:rsidR="00A26D39" w:rsidRPr="00AC5EB8">
        <w:rPr>
          <w:b/>
        </w:rPr>
        <w:t>cumulatively considerable</w:t>
      </w:r>
      <w:r w:rsidR="00A26D39">
        <w:t xml:space="preserve">. </w:t>
      </w:r>
    </w:p>
    <w:p w14:paraId="6EBF3F3F" w14:textId="13D66633" w:rsidR="00427F80" w:rsidRPr="00DB2A52" w:rsidRDefault="00232FA7" w:rsidP="00232FA7">
      <w:pPr>
        <w:pStyle w:val="Heading4"/>
      </w:pPr>
      <w:r>
        <w:t>Sensitive Natural Communities, Riparian Habitat, Oak Woodland, and Chaparral/Coastal Sage Scrub</w:t>
      </w:r>
    </w:p>
    <w:p w14:paraId="39EA51D8" w14:textId="05897FC4" w:rsidR="00427F80" w:rsidRPr="0016281A" w:rsidRDefault="00427F80" w:rsidP="00232FA7">
      <w:pPr>
        <w:pStyle w:val="BodyText"/>
        <w:rPr>
          <w:b/>
        </w:rPr>
      </w:pPr>
      <w:r w:rsidRPr="0016281A">
        <w:t xml:space="preserve">Treatment activities under the proposed CalVTP could adversely affect </w:t>
      </w:r>
      <w:r>
        <w:t xml:space="preserve">sensitive natural communities, </w:t>
      </w:r>
      <w:r w:rsidRPr="0016281A">
        <w:t xml:space="preserve">riparian habitat, </w:t>
      </w:r>
      <w:r w:rsidR="00BD3CEB">
        <w:t xml:space="preserve">and </w:t>
      </w:r>
      <w:r w:rsidRPr="0016281A">
        <w:t>oak woodlands</w:t>
      </w:r>
      <w:r>
        <w:t>,</w:t>
      </w:r>
      <w:r w:rsidRPr="0016281A">
        <w:t xml:space="preserve"> if they are present within the treatment area</w:t>
      </w:r>
      <w:r>
        <w:t>s</w:t>
      </w:r>
      <w:r w:rsidRPr="0016281A">
        <w:t xml:space="preserve"> and are subject to treatment activities</w:t>
      </w:r>
      <w:r>
        <w:t xml:space="preserve"> such as</w:t>
      </w:r>
      <w:r w:rsidR="00897EB4">
        <w:t xml:space="preserve"> prescribed</w:t>
      </w:r>
      <w:r w:rsidRPr="0016281A">
        <w:t xml:space="preserve"> burning, vegetation removal, or ground disturbance. These activities could result in loss or degradation of these sensitive habitats, which would contribute to significant cumulative impacts. Implementation of Mitigation Measures </w:t>
      </w:r>
      <w:r>
        <w:t xml:space="preserve">BIO-3a, </w:t>
      </w:r>
      <w:r w:rsidRPr="0016281A">
        <w:t xml:space="preserve">BIO-3b, </w:t>
      </w:r>
      <w:r>
        <w:t xml:space="preserve">and </w:t>
      </w:r>
      <w:r w:rsidRPr="0016281A">
        <w:t>BIO</w:t>
      </w:r>
      <w:r w:rsidR="00430C30">
        <w:t>-</w:t>
      </w:r>
      <w:r w:rsidRPr="0016281A">
        <w:t>3c</w:t>
      </w:r>
      <w:r w:rsidR="00897EB4">
        <w:t xml:space="preserve"> </w:t>
      </w:r>
      <w:r w:rsidRPr="0016281A">
        <w:t xml:space="preserve">would reduce the </w:t>
      </w:r>
      <w:r w:rsidR="00897EB4">
        <w:t>CalVTP</w:t>
      </w:r>
      <w:r w:rsidR="00CC081D">
        <w:t>’</w:t>
      </w:r>
      <w:r w:rsidR="00897EB4" w:rsidRPr="0016281A">
        <w:t xml:space="preserve">s </w:t>
      </w:r>
      <w:r w:rsidRPr="0016281A">
        <w:t xml:space="preserve">contribution to this significant cumulative impact on </w:t>
      </w:r>
      <w:r>
        <w:t xml:space="preserve">sensitive natural communities, </w:t>
      </w:r>
      <w:r w:rsidRPr="0016281A">
        <w:t xml:space="preserve">riparian habitat, </w:t>
      </w:r>
      <w:r w:rsidR="00BD3CEB">
        <w:t xml:space="preserve">and </w:t>
      </w:r>
      <w:r w:rsidRPr="0016281A">
        <w:t xml:space="preserve">oak woodlands because they would require project proponents to minimize vegetation removal within </w:t>
      </w:r>
      <w:r w:rsidR="00BD3CEB">
        <w:t>sensitive natural communities and oak woodlands,</w:t>
      </w:r>
      <w:r w:rsidRPr="0016281A">
        <w:t xml:space="preserve"> to the degree feasible</w:t>
      </w:r>
      <w:r w:rsidR="001906DF">
        <w:t>;</w:t>
      </w:r>
      <w:r w:rsidRPr="0016281A">
        <w:t xml:space="preserve"> compensate for unavoidable losses of </w:t>
      </w:r>
      <w:r>
        <w:t>sensitive natural communities</w:t>
      </w:r>
      <w:r w:rsidR="00BD3CEB">
        <w:t>, oak woodlands,</w:t>
      </w:r>
      <w:r>
        <w:t xml:space="preserve"> and </w:t>
      </w:r>
      <w:r w:rsidRPr="0016281A">
        <w:t>riparian habitat</w:t>
      </w:r>
      <w:r>
        <w:t>;</w:t>
      </w:r>
      <w:r w:rsidRPr="0016281A">
        <w:t xml:space="preserve"> </w:t>
      </w:r>
      <w:r w:rsidR="001906DF">
        <w:t xml:space="preserve">and </w:t>
      </w:r>
      <w:r w:rsidRPr="0016281A">
        <w:t>design treatments to restore the natural fire regime or condition class of affected sensitive natural communities</w:t>
      </w:r>
      <w:r>
        <w:t xml:space="preserve"> and oak woodlands </w:t>
      </w:r>
      <w:r w:rsidRPr="00FC18F8">
        <w:rPr>
          <w:rFonts w:eastAsia="Calibri" w:cs="Times New Roman"/>
        </w:rPr>
        <w:t>and return vegetation composition and structure to their natural condition</w:t>
      </w:r>
      <w:r w:rsidR="005B7776">
        <w:rPr>
          <w:rFonts w:eastAsia="Calibri" w:cs="Times New Roman"/>
        </w:rPr>
        <w:t xml:space="preserve">. In addition, SPR BIO-5 would </w:t>
      </w:r>
      <w:r w:rsidR="007C75FD">
        <w:t>avoid</w:t>
      </w:r>
      <w:r w:rsidR="007C75FD" w:rsidRPr="0016281A">
        <w:t xml:space="preserve"> </w:t>
      </w:r>
      <w:r w:rsidRPr="0016281A">
        <w:t xml:space="preserve">type conversion in chaparral and coastal sage scrub. Thus, </w:t>
      </w:r>
      <w:r>
        <w:t>with</w:t>
      </w:r>
      <w:r w:rsidRPr="0016281A">
        <w:t xml:space="preserve"> implementation of these mitigation measures, the contributions of the proposed CalVTP</w:t>
      </w:r>
      <w:r>
        <w:t xml:space="preserve"> to existing significant cumulative effects on these habitats </w:t>
      </w:r>
      <w:r w:rsidRPr="0016281A">
        <w:rPr>
          <w:b/>
        </w:rPr>
        <w:t>would not be cumulatively considerable</w:t>
      </w:r>
      <w:r w:rsidRPr="0016281A">
        <w:t>.</w:t>
      </w:r>
    </w:p>
    <w:p w14:paraId="6D528BFB" w14:textId="67E3487C" w:rsidR="00427F80" w:rsidRPr="00335B68" w:rsidRDefault="00232FA7" w:rsidP="00232FA7">
      <w:pPr>
        <w:pStyle w:val="Heading4"/>
      </w:pPr>
      <w:r>
        <w:t>Wetlands</w:t>
      </w:r>
    </w:p>
    <w:p w14:paraId="12D10516" w14:textId="18DF1C30" w:rsidR="00427F80" w:rsidRPr="0016281A" w:rsidRDefault="00427F80" w:rsidP="001C4964">
      <w:pPr>
        <w:pStyle w:val="BodyText"/>
      </w:pPr>
      <w:r w:rsidRPr="0016281A">
        <w:t>Implementation of the proposed CalVTP could adversely affect state or federally protected wetlands if treatment activities (e.g., vegetation removal, ground disturbance, use of heavy machinery) occur within or adjacent to these habitats</w:t>
      </w:r>
      <w:r>
        <w:t>,</w:t>
      </w:r>
      <w:r w:rsidRPr="0016281A">
        <w:t xml:space="preserve"> particularly if these features have not been previously identified. This would contribute to significant cumulative impacts. Implementation of Mitigation Measure BIO-4 would </w:t>
      </w:r>
      <w:r>
        <w:t>substantially reduce</w:t>
      </w:r>
      <w:r w:rsidRPr="0016281A">
        <w:t xml:space="preserve"> the </w:t>
      </w:r>
      <w:r w:rsidR="00897EB4">
        <w:t>CalVTP</w:t>
      </w:r>
      <w:r w:rsidR="00CC081D">
        <w:t>’</w:t>
      </w:r>
      <w:r w:rsidR="00897EB4" w:rsidRPr="0016281A">
        <w:t xml:space="preserve">s </w:t>
      </w:r>
      <w:r>
        <w:t xml:space="preserve">potential </w:t>
      </w:r>
      <w:r w:rsidRPr="0016281A">
        <w:t xml:space="preserve">contribution to this significant cumulative impact because it would require </w:t>
      </w:r>
      <w:r w:rsidR="00DF2ABF">
        <w:t xml:space="preserve">delineation of the boundaries </w:t>
      </w:r>
      <w:r w:rsidRPr="0016281A">
        <w:t>of state and federally protected wetlands</w:t>
      </w:r>
      <w:r w:rsidR="00DF2ABF">
        <w:t>;</w:t>
      </w:r>
      <w:r w:rsidRPr="0016281A">
        <w:t xml:space="preserve"> </w:t>
      </w:r>
      <w:r w:rsidR="00DF2ABF">
        <w:t xml:space="preserve">implementation of </w:t>
      </w:r>
      <w:r w:rsidRPr="0016281A">
        <w:t xml:space="preserve">a  buffer </w:t>
      </w:r>
      <w:r w:rsidR="00DF2ABF">
        <w:t>around the wetland where activities are restricted</w:t>
      </w:r>
      <w:r w:rsidRPr="0016281A">
        <w:t xml:space="preserve"> so that no inadvertent damage or destruction to wetland habits would occur during treatment activities</w:t>
      </w:r>
      <w:r w:rsidR="00DF2ABF">
        <w:t>;</w:t>
      </w:r>
      <w:r w:rsidRPr="0016281A">
        <w:t xml:space="preserve"> </w:t>
      </w:r>
      <w:r w:rsidR="00DF2ABF">
        <w:t xml:space="preserve">and that prescribed burns are designed to avoid loss of wetland functions and values. </w:t>
      </w:r>
      <w:r w:rsidRPr="0016281A">
        <w:t xml:space="preserve">Thus, after implementation of these </w:t>
      </w:r>
      <w:r w:rsidR="004C29A4">
        <w:t>SPRs and M</w:t>
      </w:r>
      <w:r w:rsidRPr="0016281A">
        <w:t xml:space="preserve">itigation </w:t>
      </w:r>
      <w:r w:rsidR="004C29A4">
        <w:t>M</w:t>
      </w:r>
      <w:r w:rsidRPr="0016281A">
        <w:t>easure</w:t>
      </w:r>
      <w:r w:rsidR="004C29A4">
        <w:t xml:space="preserve"> BIO-4</w:t>
      </w:r>
      <w:r w:rsidRPr="0016281A">
        <w:t xml:space="preserve">, the </w:t>
      </w:r>
      <w:r w:rsidR="00897EB4">
        <w:t>CalVTP</w:t>
      </w:r>
      <w:r w:rsidR="00CC081D">
        <w:t>’</w:t>
      </w:r>
      <w:r w:rsidR="00897EB4" w:rsidRPr="0016281A">
        <w:t xml:space="preserve">s </w:t>
      </w:r>
      <w:r w:rsidRPr="0016281A">
        <w:t xml:space="preserve">contribution to significant cumulative impacts on state and federally protected wetlands </w:t>
      </w:r>
      <w:r w:rsidRPr="0016281A">
        <w:rPr>
          <w:b/>
        </w:rPr>
        <w:t>would not be cumulatively considerable</w:t>
      </w:r>
      <w:r w:rsidRPr="0016281A">
        <w:t xml:space="preserve">. </w:t>
      </w:r>
    </w:p>
    <w:p w14:paraId="77BCDBDB" w14:textId="10A56512" w:rsidR="00427F80" w:rsidRPr="00B26F34" w:rsidRDefault="00080F0A" w:rsidP="00080F0A">
      <w:pPr>
        <w:pStyle w:val="Heading4"/>
      </w:pPr>
      <w:r>
        <w:t>Wildlife Movement Corridors and Nursery Sites</w:t>
      </w:r>
    </w:p>
    <w:p w14:paraId="234B499C" w14:textId="42492B4A" w:rsidR="00427F80" w:rsidRPr="0016281A" w:rsidRDefault="00427F80" w:rsidP="001C4964">
      <w:pPr>
        <w:pStyle w:val="BodyText"/>
      </w:pPr>
      <w:r w:rsidRPr="0016281A">
        <w:t>Treatment activities under the proposed CalVTP</w:t>
      </w:r>
      <w:r>
        <w:t xml:space="preserve"> could directly and indirectly adversely affect wildlife movement corridors and nursery sites if treatment activities occur within or adjacent to these areas. This would contribute to significant cumulative impacts. Implementation of relevant SPRs (i.e., SPR </w:t>
      </w:r>
      <w:r>
        <w:rPr>
          <w:rFonts w:eastAsia="Calibri" w:cs="Times New Roman"/>
        </w:rPr>
        <w:t xml:space="preserve">BIO-1, BIO-4, </w:t>
      </w:r>
      <w:r w:rsidR="00F078E2">
        <w:rPr>
          <w:rFonts w:eastAsia="Calibri" w:cs="Times New Roman"/>
        </w:rPr>
        <w:t xml:space="preserve">BIO-5, </w:t>
      </w:r>
      <w:r>
        <w:rPr>
          <w:rFonts w:eastAsia="Calibri" w:cs="Times New Roman"/>
        </w:rPr>
        <w:t>BIO-</w:t>
      </w:r>
      <w:r w:rsidR="005553E5">
        <w:rPr>
          <w:rFonts w:eastAsia="Calibri" w:cs="Times New Roman"/>
        </w:rPr>
        <w:t>10</w:t>
      </w:r>
      <w:r>
        <w:rPr>
          <w:rFonts w:eastAsia="Calibri" w:cs="Times New Roman"/>
        </w:rPr>
        <w:t>, BIO-1</w:t>
      </w:r>
      <w:r w:rsidR="00F078E2">
        <w:rPr>
          <w:rFonts w:eastAsia="Calibri" w:cs="Times New Roman"/>
        </w:rPr>
        <w:t>1</w:t>
      </w:r>
      <w:r>
        <w:rPr>
          <w:rFonts w:eastAsia="Calibri" w:cs="Times New Roman"/>
        </w:rPr>
        <w:t xml:space="preserve">, HYD-1, HYD-4) substantially reduces the </w:t>
      </w:r>
      <w:r w:rsidR="005E7D67">
        <w:rPr>
          <w:rFonts w:eastAsia="Calibri" w:cs="Times New Roman"/>
        </w:rPr>
        <w:t>CalVTP</w:t>
      </w:r>
      <w:r w:rsidR="00CC081D">
        <w:rPr>
          <w:rFonts w:eastAsia="Calibri" w:cs="Times New Roman"/>
        </w:rPr>
        <w:t>’</w:t>
      </w:r>
      <w:r w:rsidR="005E7D67">
        <w:rPr>
          <w:rFonts w:eastAsia="Calibri" w:cs="Times New Roman"/>
        </w:rPr>
        <w:t xml:space="preserve">s </w:t>
      </w:r>
      <w:r>
        <w:rPr>
          <w:rFonts w:eastAsia="Calibri" w:cs="Times New Roman"/>
        </w:rPr>
        <w:t xml:space="preserve">contribution to the significant cumulative impact to wildlife movement corridors because they require actions to prevent degradation of aquatic and riparian corridors, and installation of wildlife-friendly fencing to avoid entanglement during wildlife movement. In addition to implementation of SPRs, </w:t>
      </w:r>
      <w:r>
        <w:t xml:space="preserve">implementation of Mitigation Measure BIO-5 would reduce the </w:t>
      </w:r>
      <w:r w:rsidR="004C29A4">
        <w:t>CalVTP</w:t>
      </w:r>
      <w:r w:rsidR="00CC081D">
        <w:t>’</w:t>
      </w:r>
      <w:r w:rsidR="004C29A4">
        <w:t xml:space="preserve">s </w:t>
      </w:r>
      <w:r>
        <w:t>contribution to the significant cumulative impact to wildlife nursery sites because it would require retention of nursery sites identified by implementation of SPR</w:t>
      </w:r>
      <w:r w:rsidR="00897EB4">
        <w:t xml:space="preserve"> </w:t>
      </w:r>
      <w:r>
        <w:t xml:space="preserve">BIO-10 and establishment of no-disturbance buffers around these sites to prevent disturbance. Thus, after implementation relevant SPRs and Mitigation Measure BIO-5, the </w:t>
      </w:r>
      <w:r w:rsidR="004C29A4">
        <w:t>CalVTP</w:t>
      </w:r>
      <w:r w:rsidR="00CC081D">
        <w:t>’</w:t>
      </w:r>
      <w:r w:rsidR="004C29A4">
        <w:t xml:space="preserve">s </w:t>
      </w:r>
      <w:r>
        <w:t xml:space="preserve">contribution to significant cumulative impacts to wildlife movement corridors and nursery sites </w:t>
      </w:r>
      <w:r w:rsidRPr="00D05D07">
        <w:rPr>
          <w:b/>
        </w:rPr>
        <w:t>would not be cumulatively considerable</w:t>
      </w:r>
      <w:r>
        <w:t>.</w:t>
      </w:r>
    </w:p>
    <w:p w14:paraId="1A53B2A0" w14:textId="0C0E8529" w:rsidR="00427F80" w:rsidRPr="007B1131" w:rsidRDefault="00427F80" w:rsidP="00911F11">
      <w:pPr>
        <w:pStyle w:val="Heading4"/>
      </w:pPr>
      <w:r>
        <w:lastRenderedPageBreak/>
        <w:t xml:space="preserve">Common </w:t>
      </w:r>
      <w:r w:rsidR="00A84E6C">
        <w:t xml:space="preserve">Native </w:t>
      </w:r>
      <w:r w:rsidR="005201F9">
        <w:t>Wildlife</w:t>
      </w:r>
    </w:p>
    <w:p w14:paraId="17F86C82" w14:textId="741586D1" w:rsidR="00427F80" w:rsidRPr="0016281A" w:rsidRDefault="00427F80" w:rsidP="00427F80">
      <w:pPr>
        <w:pStyle w:val="BodyText"/>
      </w:pPr>
      <w:r w:rsidRPr="0016281A">
        <w:t xml:space="preserve">Implementation of the proposed CalVTP could adversely affect </w:t>
      </w:r>
      <w:r>
        <w:t xml:space="preserve">common </w:t>
      </w:r>
      <w:r w:rsidR="005201F9">
        <w:t xml:space="preserve">native mammal, bird, reptile, amphibian, and invertebrate species </w:t>
      </w:r>
      <w:r>
        <w:t xml:space="preserve">by directly removing or disturbing active </w:t>
      </w:r>
      <w:r w:rsidR="005201F9">
        <w:t xml:space="preserve">dens, </w:t>
      </w:r>
      <w:r>
        <w:t>nests</w:t>
      </w:r>
      <w:r w:rsidR="005201F9">
        <w:t>, or other breeding sites, kill or injure individuals, or temporarily reduce breeding productivity of these species.</w:t>
      </w:r>
      <w:r>
        <w:t xml:space="preserve"> </w:t>
      </w:r>
      <w:r w:rsidR="00A84E6C">
        <w:t xml:space="preserve">Although </w:t>
      </w:r>
      <w:r w:rsidR="00047EB7">
        <w:t>treatments would be implemented within relatively small proportions of the extensive ranges of common species and suitable habitat would remain available to these species across the broader landscape surrounding treatment areas, t</w:t>
      </w:r>
      <w:r>
        <w:t>his would contribute to significant cumulative impacts</w:t>
      </w:r>
      <w:r w:rsidR="00126180">
        <w:t xml:space="preserve"> to the extent they exist for common wildlife</w:t>
      </w:r>
      <w:r>
        <w:t>. Implementation of relevant SPRs (i.e., SPR BIO-1, BIO-2, BIO-3, BIO-4, BIO-</w:t>
      </w:r>
      <w:r w:rsidR="005201F9">
        <w:t>5</w:t>
      </w:r>
      <w:r w:rsidR="00D128F5" w:rsidRPr="000A4E0E">
        <w:rPr>
          <w:u w:val="single"/>
        </w:rPr>
        <w:t>, BIO-12</w:t>
      </w:r>
      <w:r>
        <w:t xml:space="preserve">) substantially reduces the </w:t>
      </w:r>
      <w:r w:rsidR="004C29A4">
        <w:t>CalVTP</w:t>
      </w:r>
      <w:r w:rsidR="00CC081D">
        <w:t>’</w:t>
      </w:r>
      <w:r w:rsidR="004C29A4">
        <w:t xml:space="preserve">s </w:t>
      </w:r>
      <w:r>
        <w:t xml:space="preserve">contribution to this significant cumulative impact because they require retention of important </w:t>
      </w:r>
      <w:r w:rsidR="005201F9">
        <w:t xml:space="preserve">high-quality </w:t>
      </w:r>
      <w:r>
        <w:t>habitats</w:t>
      </w:r>
      <w:r w:rsidR="005201F9">
        <w:t xml:space="preserve"> that would benefit common species</w:t>
      </w:r>
      <w:r w:rsidR="00D128F5" w:rsidRPr="000A4E0E">
        <w:rPr>
          <w:u w:val="single"/>
        </w:rPr>
        <w:t xml:space="preserve"> and protect common nesting birds, including raptors</w:t>
      </w:r>
      <w:r>
        <w:t xml:space="preserve">. Thus, after implementation of these SPRs, the </w:t>
      </w:r>
      <w:r w:rsidR="005553E5">
        <w:t>CalVTP</w:t>
      </w:r>
      <w:r w:rsidR="00CC081D">
        <w:t>’</w:t>
      </w:r>
      <w:r w:rsidR="005553E5">
        <w:t xml:space="preserve">s </w:t>
      </w:r>
      <w:r>
        <w:t xml:space="preserve">contribution to significant cumulative impacts to common </w:t>
      </w:r>
      <w:r w:rsidR="00126180">
        <w:t>wildlife</w:t>
      </w:r>
      <w:r>
        <w:t xml:space="preserve"> </w:t>
      </w:r>
      <w:r w:rsidRPr="00D05D07">
        <w:rPr>
          <w:b/>
        </w:rPr>
        <w:t>would not be cumulatively considerable</w:t>
      </w:r>
      <w:r>
        <w:t>.</w:t>
      </w:r>
    </w:p>
    <w:p w14:paraId="467EC9DF" w14:textId="68DB9DF6" w:rsidR="00ED0285" w:rsidRPr="0024721E" w:rsidRDefault="00ED0285" w:rsidP="00ED0285">
      <w:pPr>
        <w:pStyle w:val="Heading3"/>
      </w:pPr>
      <w:r w:rsidRPr="0024721E">
        <w:t xml:space="preserve">Geology, Soils, </w:t>
      </w:r>
      <w:r w:rsidR="0024721E">
        <w:t xml:space="preserve">Paleontology, </w:t>
      </w:r>
      <w:r w:rsidRPr="0024721E">
        <w:t>and Mineral Resources</w:t>
      </w:r>
    </w:p>
    <w:p w14:paraId="3F00E7C4" w14:textId="24FBB40F" w:rsidR="00674922" w:rsidRDefault="00674922" w:rsidP="0021521F">
      <w:pPr>
        <w:pStyle w:val="BodyText"/>
      </w:pPr>
      <w:r>
        <w:t xml:space="preserve">The geographic scope within which cumulative impacts related to geology and soils for the CalVTP </w:t>
      </w:r>
      <w:r w:rsidR="0024721E">
        <w:t xml:space="preserve">is all </w:t>
      </w:r>
      <w:r>
        <w:t>areas where vegetation could be treated in California</w:t>
      </w:r>
      <w:r w:rsidR="00CC081D">
        <w:t>’</w:t>
      </w:r>
      <w:r>
        <w:t xml:space="preserve">s geomorphic provinces, which are described in the Environmental Setting of Section 3.7, </w:t>
      </w:r>
      <w:r w:rsidR="00CC081D">
        <w:t>“</w:t>
      </w:r>
      <w:r>
        <w:t>Geology, Soils, Paleontology, and Mineral Resources</w:t>
      </w:r>
      <w:r w:rsidR="00CC081D">
        <w:t>.”</w:t>
      </w:r>
      <w:r>
        <w:t xml:space="preserve"> </w:t>
      </w:r>
    </w:p>
    <w:p w14:paraId="20C83295" w14:textId="775C71A8" w:rsidR="00674922" w:rsidRPr="0084781C" w:rsidRDefault="00674922" w:rsidP="0021521F">
      <w:pPr>
        <w:pStyle w:val="BodyText"/>
      </w:pPr>
      <w:r>
        <w:t>I</w:t>
      </w:r>
      <w:r w:rsidRPr="0084781C">
        <w:t xml:space="preserve">mplementation of </w:t>
      </w:r>
      <w:r>
        <w:t xml:space="preserve">treatments under </w:t>
      </w:r>
      <w:r w:rsidRPr="0084781C">
        <w:t xml:space="preserve">the CalVTP may have the potential to result in soil erosion and slope instability. </w:t>
      </w:r>
      <w:r>
        <w:t>Other vegetation management programs and projects implemented by CAL FIRE or others</w:t>
      </w:r>
      <w:r w:rsidR="001F6FE2">
        <w:t xml:space="preserve"> listed above in Section 4.</w:t>
      </w:r>
      <w:r w:rsidR="007C75FD">
        <w:t>3</w:t>
      </w:r>
      <w:r>
        <w:t xml:space="preserve"> also have the potential to result in erosion and slope stability. </w:t>
      </w:r>
      <w:r w:rsidRPr="0084781C">
        <w:t xml:space="preserve">However, under the </w:t>
      </w:r>
      <w:r>
        <w:t>CalVTP</w:t>
      </w:r>
      <w:r w:rsidRPr="0084781C">
        <w:t xml:space="preserve">, potentially significant geology and soils effects would be avoided </w:t>
      </w:r>
      <w:r>
        <w:t xml:space="preserve">and minimized </w:t>
      </w:r>
      <w:r w:rsidRPr="0084781C">
        <w:t xml:space="preserve">through the implementation of SPRs. Other vegetation management programs </w:t>
      </w:r>
      <w:r>
        <w:t>within</w:t>
      </w:r>
      <w:r w:rsidRPr="0084781C">
        <w:t xml:space="preserve"> </w:t>
      </w:r>
      <w:r w:rsidR="001F6FE2">
        <w:t>the state</w:t>
      </w:r>
      <w:r w:rsidR="001F6FE2" w:rsidRPr="0084781C">
        <w:t xml:space="preserve"> </w:t>
      </w:r>
      <w:r w:rsidRPr="0084781C">
        <w:t>would</w:t>
      </w:r>
      <w:r w:rsidR="001F6FE2">
        <w:t xml:space="preserve"> also</w:t>
      </w:r>
      <w:r w:rsidRPr="0084781C">
        <w:t xml:space="preserve"> be required to implement similar measures. </w:t>
      </w:r>
      <w:r>
        <w:t xml:space="preserve">Additionally, cumulative impacts associated with erosion and landslide </w:t>
      </w:r>
      <w:r w:rsidR="001F6FE2">
        <w:t xml:space="preserve">related </w:t>
      </w:r>
      <w:r>
        <w:t xml:space="preserve">to wildfire are more significant in areas not managed with vegetation treatment programs. </w:t>
      </w:r>
    </w:p>
    <w:p w14:paraId="524B7299" w14:textId="5EAA46ED" w:rsidR="00ED0285" w:rsidRPr="00ED0285" w:rsidRDefault="00674922" w:rsidP="0021521F">
      <w:pPr>
        <w:pStyle w:val="BodyText"/>
      </w:pPr>
      <w:r>
        <w:t xml:space="preserve">As described in Section 3.7, </w:t>
      </w:r>
      <w:r w:rsidR="00CC081D">
        <w:t>“</w:t>
      </w:r>
      <w:r>
        <w:t>Geology, Soils, Paleontology, and Mineral Resources,</w:t>
      </w:r>
      <w:r w:rsidR="00CC081D">
        <w:t>”</w:t>
      </w:r>
      <w:r>
        <w:t xml:space="preserve"> the CalVTP would avoid significant adverse effects to geology and soil resources through the incorporation of SPRs </w:t>
      </w:r>
      <w:r w:rsidR="001F6FE2">
        <w:t xml:space="preserve">that </w:t>
      </w:r>
      <w:r>
        <w:t xml:space="preserve">protect against erosion and landslide by: </w:t>
      </w:r>
      <w:r w:rsidR="007E2D39">
        <w:t>limiting</w:t>
      </w:r>
      <w:r>
        <w:t xml:space="preserve"> mechanical equipment during </w:t>
      </w:r>
      <w:r w:rsidR="007E2D39">
        <w:t xml:space="preserve">heavy </w:t>
      </w:r>
      <w:r>
        <w:t>precipitation</w:t>
      </w:r>
      <w:r w:rsidR="001F6FE2">
        <w:t xml:space="preserve"> (SPR GEO-1)</w:t>
      </w:r>
      <w:r>
        <w:t>; limit</w:t>
      </w:r>
      <w:r w:rsidR="007E2D39">
        <w:t xml:space="preserve"> use of</w:t>
      </w:r>
      <w:r>
        <w:t xml:space="preserve"> high ground pressure vehicles</w:t>
      </w:r>
      <w:r w:rsidR="001F6FE2">
        <w:t xml:space="preserve"> (SPR GEO-2)</w:t>
      </w:r>
      <w:r>
        <w:t>; stabilize disturbed soil areas</w:t>
      </w:r>
      <w:r w:rsidR="001F6FE2">
        <w:t xml:space="preserve"> (SPR GEO-3)</w:t>
      </w:r>
      <w:r>
        <w:t xml:space="preserve">; </w:t>
      </w:r>
      <w:r w:rsidR="007E2D39">
        <w:t xml:space="preserve">inspection for </w:t>
      </w:r>
      <w:r>
        <w:t>potential erosion</w:t>
      </w:r>
      <w:r w:rsidR="001F6FE2">
        <w:t xml:space="preserve"> (SPR GEO-4)</w:t>
      </w:r>
      <w:r>
        <w:t>; draining stormwater via water breaks</w:t>
      </w:r>
      <w:r w:rsidR="001F6FE2">
        <w:t xml:space="preserve"> (SPR GEO-5)</w:t>
      </w:r>
      <w:r>
        <w:t>; minimizing burn pile size</w:t>
      </w:r>
      <w:r w:rsidR="001F6FE2">
        <w:t xml:space="preserve"> (SPR GEO-6)</w:t>
      </w:r>
      <w:r>
        <w:t xml:space="preserve">; </w:t>
      </w:r>
      <w:r w:rsidR="007E2D39">
        <w:t xml:space="preserve">minimizing erosion on steep slopes (SPR GEO-7); and evaluating steep slope areas (SPR GEO-8). In addition, air quality SPRs further reduce geology and soils impacts by </w:t>
      </w:r>
      <w:r>
        <w:t>requiring careful planning of prescribed fire to avoid severe burns</w:t>
      </w:r>
      <w:r w:rsidR="001F6FE2">
        <w:t xml:space="preserve"> (SPR </w:t>
      </w:r>
      <w:r w:rsidR="003F5B92">
        <w:t>AQ-3</w:t>
      </w:r>
      <w:r w:rsidR="001F6FE2">
        <w:t>)</w:t>
      </w:r>
      <w:r w:rsidR="007E2D39">
        <w:t>, and</w:t>
      </w:r>
      <w:r>
        <w:t xml:space="preserve"> </w:t>
      </w:r>
      <w:r w:rsidR="007E2D39">
        <w:t>wetting unpaved, dirt roads (SPR AQ-4)</w:t>
      </w:r>
      <w:r>
        <w:t xml:space="preserve">. With implementation of relevant SPRs, </w:t>
      </w:r>
      <w:r w:rsidR="0035292D">
        <w:t>the CalVTP</w:t>
      </w:r>
      <w:r w:rsidR="00CC081D">
        <w:t>’</w:t>
      </w:r>
      <w:r w:rsidR="0035292D">
        <w:t>s</w:t>
      </w:r>
      <w:r>
        <w:t xml:space="preserve"> contribution to cumulative geology and soil impacts in California</w:t>
      </w:r>
      <w:r w:rsidR="00CC081D">
        <w:t>’</w:t>
      </w:r>
      <w:r>
        <w:t xml:space="preserve">s geomorphic provinces </w:t>
      </w:r>
      <w:r w:rsidRPr="001F6FE2">
        <w:rPr>
          <w:b/>
        </w:rPr>
        <w:t>would not be cumulatively considerable</w:t>
      </w:r>
      <w:r>
        <w:t xml:space="preserve">. </w:t>
      </w:r>
    </w:p>
    <w:p w14:paraId="09135B8A" w14:textId="33783219" w:rsidR="00ED0285" w:rsidRDefault="00ED0285" w:rsidP="00ED0285">
      <w:pPr>
        <w:pStyle w:val="Heading3"/>
      </w:pPr>
      <w:r w:rsidRPr="007C2DEB">
        <w:t>Greenhouse Gas Emissions</w:t>
      </w:r>
    </w:p>
    <w:p w14:paraId="2526ACBF" w14:textId="456FD0E2" w:rsidR="00ED0285" w:rsidRPr="008369EF" w:rsidRDefault="00600582" w:rsidP="0021521F">
      <w:pPr>
        <w:pStyle w:val="BodyText"/>
        <w:rPr>
          <w:spacing w:val="-1"/>
        </w:rPr>
      </w:pPr>
      <w:r w:rsidRPr="008369EF">
        <w:rPr>
          <w:spacing w:val="-1"/>
        </w:rPr>
        <w:t xml:space="preserve">The quantity of GHGs in the atmosphere that ultimately result in climate change is enormous and, as described in Section 3.8.2, </w:t>
      </w:r>
      <w:r w:rsidR="00CC081D" w:rsidRPr="008369EF">
        <w:rPr>
          <w:spacing w:val="-1"/>
        </w:rPr>
        <w:t>“</w:t>
      </w:r>
      <w:r w:rsidRPr="008369EF">
        <w:rPr>
          <w:spacing w:val="-1"/>
        </w:rPr>
        <w:t>Physical Scientific Basis of Greenhouse Gas and Climate Change,</w:t>
      </w:r>
      <w:r w:rsidR="00CC081D" w:rsidRPr="008369EF">
        <w:rPr>
          <w:spacing w:val="-1"/>
        </w:rPr>
        <w:t>”</w:t>
      </w:r>
      <w:r w:rsidRPr="008369EF">
        <w:rPr>
          <w:spacing w:val="-1"/>
        </w:rPr>
        <w:t xml:space="preserve"> has resulted in climate change, which is a cumulatively significant impact. Because climate change is a global phenomenon</w:t>
      </w:r>
      <w:r w:rsidR="0035292D" w:rsidRPr="008369EF">
        <w:rPr>
          <w:spacing w:val="-1"/>
        </w:rPr>
        <w:t>,</w:t>
      </w:r>
      <w:r w:rsidRPr="008369EF">
        <w:rPr>
          <w:spacing w:val="-1"/>
        </w:rPr>
        <w:t xml:space="preserve"> the cumulative context of this impact is all past, present, and reasonably foreseeable projects in the world, including GHG emission sources and carbon sinks. No single project alone would measurably contribute to an incremental change in the global average temperature, or to global, local, or microclimates and, from the standpoint of CEQA, GHG impacts relative to global climate change are inherently cumulative. The analysis under Impact GHG-1 and Impact GHG-2 </w:t>
      </w:r>
      <w:r w:rsidR="0035292D" w:rsidRPr="008369EF">
        <w:rPr>
          <w:spacing w:val="-1"/>
        </w:rPr>
        <w:t xml:space="preserve">in Section 3.8, </w:t>
      </w:r>
      <w:r w:rsidR="00CC081D" w:rsidRPr="008369EF">
        <w:rPr>
          <w:spacing w:val="-1"/>
        </w:rPr>
        <w:t>“</w:t>
      </w:r>
      <w:r w:rsidR="0059160C" w:rsidRPr="008369EF">
        <w:rPr>
          <w:spacing w:val="-1"/>
        </w:rPr>
        <w:t>Greenhouse Gas Emissions</w:t>
      </w:r>
      <w:r w:rsidR="00CC081D" w:rsidRPr="008369EF">
        <w:rPr>
          <w:spacing w:val="-1"/>
        </w:rPr>
        <w:t>”</w:t>
      </w:r>
      <w:r w:rsidR="0059160C" w:rsidRPr="008369EF">
        <w:rPr>
          <w:spacing w:val="-1"/>
        </w:rPr>
        <w:t xml:space="preserve"> </w:t>
      </w:r>
      <w:r w:rsidRPr="008369EF">
        <w:rPr>
          <w:spacing w:val="-1"/>
        </w:rPr>
        <w:t xml:space="preserve">therefore reflect cumulative significance determinations that are cross-referenced herein. </w:t>
      </w:r>
    </w:p>
    <w:p w14:paraId="46AB6359" w14:textId="76944130" w:rsidR="00ED0285" w:rsidRDefault="00ED0285" w:rsidP="00ED0285">
      <w:pPr>
        <w:pStyle w:val="Heading3"/>
      </w:pPr>
      <w:r w:rsidRPr="007C2DEB">
        <w:t>Energy Resources</w:t>
      </w:r>
    </w:p>
    <w:p w14:paraId="4037DD0E" w14:textId="1348251A" w:rsidR="00B64C1D" w:rsidRDefault="00B64C1D" w:rsidP="0021521F">
      <w:pPr>
        <w:pStyle w:val="BodyText"/>
      </w:pPr>
      <w:r>
        <w:t xml:space="preserve">Treatment activities under the CalVTP would be implemented across </w:t>
      </w:r>
      <w:r w:rsidR="00A219C8">
        <w:t xml:space="preserve">up to </w:t>
      </w:r>
      <w:r>
        <w:t xml:space="preserve">250,000 acres annually </w:t>
      </w:r>
      <w:r w:rsidR="00BB56E1">
        <w:t xml:space="preserve">within </w:t>
      </w:r>
      <w:r>
        <w:t xml:space="preserve">the treatable landscape; this is the geographic scope for cumulative impact analysis of energy resources. This broad geographic </w:t>
      </w:r>
      <w:r>
        <w:lastRenderedPageBreak/>
        <w:t xml:space="preserve">scope means that many other past, present, and reasonably foreseeable future activities may interact to result in cumulative impacts. Energy consumption under the CalVTP would occur in the form of petroleum fuel combustion. Under existing conditions, projects of similar nature of the CalVTP include land management programs and projects, which would consume energy to implement these projects and plans during operation of on- and off-road vehicles, equipment, and machinery as well as from electricity and natural gas combustion for projects with such demand. Energy consumption from these activities could cause environmental impacts from wasteful, inefficient, or unnecessary use of energy. </w:t>
      </w:r>
    </w:p>
    <w:p w14:paraId="3A282958" w14:textId="15E9444C" w:rsidR="00B64C1D" w:rsidRDefault="00B64C1D" w:rsidP="0021521F">
      <w:pPr>
        <w:pStyle w:val="BodyText"/>
      </w:pPr>
      <w:r>
        <w:t xml:space="preserve">For reasons similar to those discussed in Section 3.9, </w:t>
      </w:r>
      <w:r w:rsidR="00CC081D">
        <w:t>“</w:t>
      </w:r>
      <w:r>
        <w:t>Energy Resources,</w:t>
      </w:r>
      <w:r w:rsidR="00CC081D">
        <w:t>”</w:t>
      </w:r>
      <w:r>
        <w:t xml:space="preserve"> cumulative energy impacts are less than significant. As discussed in Section 3.9, </w:t>
      </w:r>
      <w:r w:rsidR="00CC081D">
        <w:t>“</w:t>
      </w:r>
      <w:r>
        <w:t>Energy Resources,</w:t>
      </w:r>
      <w:r w:rsidR="00CC081D">
        <w:t>”</w:t>
      </w:r>
      <w:r>
        <w:t xml:space="preserve"> the proposed CalVTP would not produce additional electricity or natural gas demand that would trigger additional infrastructure. The language of this criterion is derived from language in the Warren Alquist-Priolo Act and pertains to the environmental impacts from project</w:t>
      </w:r>
      <w:r w:rsidR="00CC081D">
        <w:t>’</w:t>
      </w:r>
      <w:r>
        <w:t>s that produce substantial additional energy demand to warrant the construction of additional energy infrastructure or power plants.</w:t>
      </w:r>
      <w:r w:rsidR="00CC081D">
        <w:t xml:space="preserve"> </w:t>
      </w:r>
    </w:p>
    <w:p w14:paraId="27D56489" w14:textId="2430D783" w:rsidR="00ED0285" w:rsidRPr="00ED0285" w:rsidRDefault="00B64C1D" w:rsidP="0021521F">
      <w:pPr>
        <w:pStyle w:val="BodyText"/>
      </w:pPr>
      <w:r>
        <w:t xml:space="preserve">Implementation of the CalVTP would increase fuel consumption in line with an increase in the pace and scale of vegetation treatment </w:t>
      </w:r>
      <w:r w:rsidR="00BB56E1">
        <w:t xml:space="preserve">within </w:t>
      </w:r>
      <w:r>
        <w:t xml:space="preserve">the treatable landscape. The total gallons of fuel that would be required to implement treatment activities under the CalVTP is speculative. However, a primary objective of the CalVTP is to reduce wildfire risk, which requires substantial and inefficient energy consumption during response (e.g., operation of fire engines, automobile and aerial travel throughout the state). </w:t>
      </w:r>
      <w:r w:rsidR="004B2163">
        <w:t>I</w:t>
      </w:r>
      <w:r>
        <w:t xml:space="preserve">mplementation of treatment activities under the CalVTP combined with other similar programs and plans would improve the efficiency of energy consumption during of such events through improved planning. Also, as previously mentioned, the </w:t>
      </w:r>
      <w:r w:rsidR="00CC081D">
        <w:t>“</w:t>
      </w:r>
      <w:r>
        <w:t>wasteful, inefficient, and unnecessary use of energy</w:t>
      </w:r>
      <w:r w:rsidR="00CC081D">
        <w:t>”</w:t>
      </w:r>
      <w:r>
        <w:t xml:space="preserve"> is interpreted to pertain specific to grid-sourced energy demand, which the project would not contribute to. Therefore, the CalVTP</w:t>
      </w:r>
      <w:r w:rsidR="00CC081D">
        <w:t>’</w:t>
      </w:r>
      <w:r>
        <w:t xml:space="preserve">s contribution to energy impacts from the wasteful, inefficient, and unnecessary use of energy </w:t>
      </w:r>
      <w:r w:rsidRPr="00C75DED">
        <w:rPr>
          <w:b/>
        </w:rPr>
        <w:t>would not be cumulatively considerable</w:t>
      </w:r>
      <w:r>
        <w:t xml:space="preserve">. </w:t>
      </w:r>
    </w:p>
    <w:p w14:paraId="380F193C" w14:textId="407EAE31" w:rsidR="00ED0285" w:rsidRPr="001F6FE2" w:rsidRDefault="00ED0285" w:rsidP="00ED0285">
      <w:pPr>
        <w:pStyle w:val="Heading3"/>
      </w:pPr>
      <w:r w:rsidRPr="001F6FE2">
        <w:t>Hazardous Materials, Public Health and Safety</w:t>
      </w:r>
    </w:p>
    <w:p w14:paraId="64D4E6DB" w14:textId="6DAD3F52" w:rsidR="003045D2" w:rsidRPr="00C3612B" w:rsidRDefault="003045D2" w:rsidP="0084342B">
      <w:pPr>
        <w:pStyle w:val="BodyText"/>
        <w:rPr>
          <w:highlight w:val="yellow"/>
        </w:rPr>
      </w:pPr>
      <w:r w:rsidRPr="00720CD9">
        <w:t>The geographic scope for the hazardous materials and public health and safety cumulative impact analysis is the treatable landscape and surrounding areas. For the purposes of this analysis, that would be generally areas within 0.5 mile of the treatable landscape because that is a reasonable maximum dist</w:t>
      </w:r>
      <w:r w:rsidRPr="00AC2BB6">
        <w:t>ance from which hazardous materials overlap could occur and combine to create a cumulatively significant impact. As discussed in Section 4.</w:t>
      </w:r>
      <w:r w:rsidR="007C75FD">
        <w:t>3</w:t>
      </w:r>
      <w:r w:rsidRPr="00AC2BB6">
        <w:t xml:space="preserve">, </w:t>
      </w:r>
      <w:r w:rsidR="00CC081D">
        <w:t>“</w:t>
      </w:r>
      <w:r w:rsidRPr="00AC2BB6">
        <w:t>Related Projects and Plans,</w:t>
      </w:r>
      <w:r w:rsidR="00CC081D">
        <w:t>”</w:t>
      </w:r>
      <w:r w:rsidRPr="00AC2BB6">
        <w:t xml:space="preserve"> above, there are several similar </w:t>
      </w:r>
      <w:proofErr w:type="gramStart"/>
      <w:r w:rsidRPr="00AC2BB6">
        <w:t>past</w:t>
      </w:r>
      <w:proofErr w:type="gramEnd"/>
      <w:r w:rsidRPr="00AC2BB6">
        <w:t>, present, and reasonably foreseeable projects that have and could result in similar impacts related to hazardous materials and public health and safety within and surrounding the treatable landscape. Examples of related projects and plans that could combine to result in significant cumulative impacts are implementation of CAL FIRE</w:t>
      </w:r>
      <w:r w:rsidR="00CC081D">
        <w:t>’</w:t>
      </w:r>
      <w:r w:rsidRPr="00AC2BB6">
        <w:t xml:space="preserve">s </w:t>
      </w:r>
      <w:r w:rsidR="00BE2664">
        <w:t xml:space="preserve">CMP and </w:t>
      </w:r>
      <w:r w:rsidRPr="00AC2BB6">
        <w:t xml:space="preserve">VMP, timber harvesting, and vegetation and fuels treatment programs implemented outside of the SRA. </w:t>
      </w:r>
    </w:p>
    <w:p w14:paraId="56A94DED" w14:textId="305B2FA6" w:rsidR="003045D2" w:rsidRPr="00297B36" w:rsidRDefault="003045D2" w:rsidP="0021521F">
      <w:pPr>
        <w:pStyle w:val="BodyText"/>
        <w:rPr>
          <w:spacing w:val="-1"/>
        </w:rPr>
      </w:pPr>
      <w:r w:rsidRPr="00297B36">
        <w:rPr>
          <w:spacing w:val="-1"/>
        </w:rPr>
        <w:t>The other past, present, and reasonably foreseeable projects identified in Section 4.</w:t>
      </w:r>
      <w:r w:rsidR="007C75FD" w:rsidRPr="00297B36">
        <w:rPr>
          <w:spacing w:val="-1"/>
        </w:rPr>
        <w:t>3</w:t>
      </w:r>
      <w:r w:rsidRPr="00297B36">
        <w:rPr>
          <w:spacing w:val="-1"/>
        </w:rPr>
        <w:t xml:space="preserve">, </w:t>
      </w:r>
      <w:r w:rsidR="00CC081D" w:rsidRPr="00297B36">
        <w:rPr>
          <w:spacing w:val="-1"/>
        </w:rPr>
        <w:t>“</w:t>
      </w:r>
      <w:r w:rsidRPr="00297B36">
        <w:rPr>
          <w:spacing w:val="-1"/>
        </w:rPr>
        <w:t>Related Projects and Plans,</w:t>
      </w:r>
      <w:r w:rsidR="00CC081D" w:rsidRPr="00297B36">
        <w:rPr>
          <w:spacing w:val="-1"/>
        </w:rPr>
        <w:t>”</w:t>
      </w:r>
      <w:r w:rsidRPr="00297B36">
        <w:rPr>
          <w:spacing w:val="-1"/>
        </w:rPr>
        <w:t xml:space="preserve"> combined with the proposed CalVTP activities would not result in a significant cumulative health hazard or cumulative hazard to the environment from the use of </w:t>
      </w:r>
      <w:r w:rsidRPr="00797DDC">
        <w:rPr>
          <w:strike/>
          <w:spacing w:val="-1"/>
        </w:rPr>
        <w:t xml:space="preserve">household </w:t>
      </w:r>
      <w:r w:rsidRPr="00297B36">
        <w:rPr>
          <w:spacing w:val="-1"/>
        </w:rPr>
        <w:t xml:space="preserve">hazardous materials because other projects, such as other vegetation treatment activities, urban development directed by local agencies, and others would also have to comply with all of the state and federal laws regulating the transport, storage, use, and disposal and hazardous materials. As described in Impact HAZ-1, treatment activities proposed under the CalVTP would require the use of various types of equipment and vehicles, which need fuels, oils, and lubricants to operate. </w:t>
      </w:r>
      <w:r w:rsidR="00797DDC" w:rsidRPr="00797DDC">
        <w:rPr>
          <w:spacing w:val="-1"/>
          <w:u w:val="single"/>
        </w:rPr>
        <w:t xml:space="preserve">In addition, </w:t>
      </w:r>
      <w:r w:rsidR="00797DDC" w:rsidRPr="00797DDC">
        <w:rPr>
          <w:u w:val="single"/>
        </w:rPr>
        <w:t>fuels and other accelerants would also be used to implement prescribed burns.</w:t>
      </w:r>
      <w:r w:rsidR="00797DDC" w:rsidRPr="00297B36">
        <w:rPr>
          <w:spacing w:val="-1"/>
        </w:rPr>
        <w:t xml:space="preserve"> </w:t>
      </w:r>
      <w:r w:rsidRPr="00297B36">
        <w:rPr>
          <w:spacing w:val="-1"/>
        </w:rPr>
        <w:t>The use, transport, storage, and disposal of household hazardous materials would be required under the CalVTP, which could result in an accidental upset or health hazard if released into the environment. SPR HAZ-1 would be implemented during future CalVTP projects and requires that all equipment be properly maintained per manufacturer</w:t>
      </w:r>
      <w:r w:rsidR="00CC081D" w:rsidRPr="00297B36">
        <w:rPr>
          <w:spacing w:val="-1"/>
        </w:rPr>
        <w:t>’</w:t>
      </w:r>
      <w:r w:rsidRPr="00297B36">
        <w:rPr>
          <w:spacing w:val="-1"/>
        </w:rPr>
        <w:t xml:space="preserve">s specifications and requires inspection of all equipment for leaks prior to the start of a project and every day until the project is complete; any equipment found leaking is required to be promptly removed from a given project site. Furthermore, project proponents would adhere to the federal and state laws that regulate the use, transport, storage, and disposal of hazardous materials, including the </w:t>
      </w:r>
      <w:r w:rsidR="00D505AE" w:rsidRPr="00297B36">
        <w:rPr>
          <w:spacing w:val="-1"/>
        </w:rPr>
        <w:t xml:space="preserve">California </w:t>
      </w:r>
      <w:r w:rsidR="00D505AE" w:rsidRPr="00297B36">
        <w:rPr>
          <w:spacing w:val="-1"/>
        </w:rPr>
        <w:lastRenderedPageBreak/>
        <w:t>Hazardous Waste Control Act (</w:t>
      </w:r>
      <w:r w:rsidRPr="00297B36">
        <w:rPr>
          <w:spacing w:val="-1"/>
        </w:rPr>
        <w:t>HWCA</w:t>
      </w:r>
      <w:r w:rsidR="00D505AE" w:rsidRPr="00297B36">
        <w:rPr>
          <w:spacing w:val="-1"/>
        </w:rPr>
        <w:t>)</w:t>
      </w:r>
      <w:r w:rsidRPr="00297B36">
        <w:rPr>
          <w:spacing w:val="-1"/>
        </w:rPr>
        <w:t xml:space="preserve">, </w:t>
      </w:r>
      <w:r w:rsidR="00D505AE" w:rsidRPr="00297B36">
        <w:rPr>
          <w:spacing w:val="-1"/>
        </w:rPr>
        <w:t>California Department of Toxic Substances Control (</w:t>
      </w:r>
      <w:r w:rsidRPr="00297B36">
        <w:rPr>
          <w:spacing w:val="-1"/>
        </w:rPr>
        <w:t>DTSC</w:t>
      </w:r>
      <w:r w:rsidR="00CC081D" w:rsidRPr="00297B36">
        <w:rPr>
          <w:spacing w:val="-1"/>
        </w:rPr>
        <w:t>’</w:t>
      </w:r>
      <w:r w:rsidRPr="00297B36">
        <w:rPr>
          <w:spacing w:val="-1"/>
        </w:rPr>
        <w:t>s</w:t>
      </w:r>
      <w:r w:rsidR="00D505AE" w:rsidRPr="00297B36">
        <w:rPr>
          <w:spacing w:val="-1"/>
        </w:rPr>
        <w:t>)</w:t>
      </w:r>
      <w:r w:rsidRPr="00297B36">
        <w:rPr>
          <w:spacing w:val="-1"/>
        </w:rPr>
        <w:t xml:space="preserve"> Unified Program, and </w:t>
      </w:r>
      <w:r w:rsidR="00D505AE" w:rsidRPr="00297B36">
        <w:rPr>
          <w:spacing w:val="-1"/>
        </w:rPr>
        <w:t>Occupational Safety and Health Administration (</w:t>
      </w:r>
      <w:r w:rsidRPr="00297B36">
        <w:rPr>
          <w:spacing w:val="-1"/>
        </w:rPr>
        <w:t>OSHA</w:t>
      </w:r>
      <w:r w:rsidR="00D505AE" w:rsidRPr="00297B36">
        <w:rPr>
          <w:spacing w:val="-1"/>
        </w:rPr>
        <w:t>)</w:t>
      </w:r>
      <w:r w:rsidRPr="00297B36">
        <w:rPr>
          <w:spacing w:val="-1"/>
        </w:rPr>
        <w:t xml:space="preserve"> and </w:t>
      </w:r>
      <w:r w:rsidR="00D505AE" w:rsidRPr="00297B36">
        <w:rPr>
          <w:spacing w:val="-1"/>
        </w:rPr>
        <w:t>U.S. Environmental Protection Agency (</w:t>
      </w:r>
      <w:r w:rsidRPr="00297B36">
        <w:rPr>
          <w:spacing w:val="-1"/>
        </w:rPr>
        <w:t>EPA</w:t>
      </w:r>
      <w:r w:rsidR="00D505AE" w:rsidRPr="00297B36">
        <w:rPr>
          <w:spacing w:val="-1"/>
        </w:rPr>
        <w:t>)</w:t>
      </w:r>
      <w:r w:rsidRPr="00297B36">
        <w:rPr>
          <w:spacing w:val="-1"/>
        </w:rPr>
        <w:t xml:space="preserve"> regulations. </w:t>
      </w:r>
      <w:r w:rsidR="00797DDC" w:rsidRPr="00797DDC">
        <w:rPr>
          <w:spacing w:val="-1"/>
          <w:u w:val="single"/>
        </w:rPr>
        <w:t xml:space="preserve">In addition, </w:t>
      </w:r>
      <w:r w:rsidR="00797DDC" w:rsidRPr="00797DDC">
        <w:rPr>
          <w:spacing w:val="-2"/>
          <w:u w:val="single"/>
        </w:rPr>
        <w:t xml:space="preserve">no health risks were predicted from potential residues remaining after the use of accelerants to ignite a prescribed burn (USFS 2002). </w:t>
      </w:r>
      <w:bookmarkStart w:id="15" w:name="_Hlk23492199"/>
      <w:r w:rsidR="00797DDC" w:rsidRPr="00797DDC">
        <w:rPr>
          <w:spacing w:val="-2"/>
          <w:u w:val="single"/>
        </w:rPr>
        <w:t xml:space="preserve">Accelerants would not be used in the protection zones for watercourses (SPR HYD-4) and therefore would not result in </w:t>
      </w:r>
      <w:r w:rsidR="00797DDC" w:rsidRPr="00797DDC">
        <w:rPr>
          <w:u w:val="single"/>
        </w:rPr>
        <w:t>contamination of watercourses</w:t>
      </w:r>
      <w:r w:rsidR="00797DDC" w:rsidRPr="00797DDC">
        <w:rPr>
          <w:spacing w:val="-2"/>
          <w:u w:val="single"/>
        </w:rPr>
        <w:t>.</w:t>
      </w:r>
      <w:bookmarkEnd w:id="15"/>
      <w:r w:rsidR="00797DDC" w:rsidRPr="0065298B">
        <w:rPr>
          <w:spacing w:val="-2"/>
        </w:rPr>
        <w:t xml:space="preserve"> </w:t>
      </w:r>
      <w:r w:rsidRPr="00297B36">
        <w:rPr>
          <w:spacing w:val="-1"/>
        </w:rPr>
        <w:t xml:space="preserve">Although implementation of the CalVTP would increase the pace and scale of treatments and thus increase the use of </w:t>
      </w:r>
      <w:r w:rsidRPr="00E919EA">
        <w:rPr>
          <w:strike/>
          <w:spacing w:val="-1"/>
        </w:rPr>
        <w:t>household</w:t>
      </w:r>
      <w:r w:rsidRPr="00297B36">
        <w:rPr>
          <w:spacing w:val="-1"/>
        </w:rPr>
        <w:t>hazardous materials in the treatable landscape, no new or more severe significant hazards would be created from implementation of the CalVTP. Therefore, the CalVTP</w:t>
      </w:r>
      <w:r w:rsidR="00CC081D" w:rsidRPr="00297B36">
        <w:rPr>
          <w:spacing w:val="-1"/>
        </w:rPr>
        <w:t>’</w:t>
      </w:r>
      <w:r w:rsidRPr="00297B36">
        <w:rPr>
          <w:spacing w:val="-1"/>
        </w:rPr>
        <w:t xml:space="preserve">s contribution to </w:t>
      </w:r>
      <w:r w:rsidRPr="00E919EA">
        <w:rPr>
          <w:strike/>
          <w:spacing w:val="-1"/>
        </w:rPr>
        <w:t xml:space="preserve">short-term visual </w:t>
      </w:r>
      <w:proofErr w:type="spellStart"/>
      <w:r w:rsidRPr="00E919EA">
        <w:rPr>
          <w:strike/>
          <w:spacing w:val="-1"/>
        </w:rPr>
        <w:t>impacts</w:t>
      </w:r>
      <w:r w:rsidR="00E919EA" w:rsidRPr="00E919EA">
        <w:rPr>
          <w:spacing w:val="-1"/>
          <w:u w:val="single"/>
        </w:rPr>
        <w:t>hazards</w:t>
      </w:r>
      <w:proofErr w:type="spellEnd"/>
      <w:r w:rsidRPr="00297B36">
        <w:rPr>
          <w:spacing w:val="-1"/>
        </w:rPr>
        <w:t xml:space="preserve"> from implementation of treatment activities </w:t>
      </w:r>
      <w:r w:rsidRPr="00297B36">
        <w:rPr>
          <w:b/>
          <w:spacing w:val="-1"/>
        </w:rPr>
        <w:t>would not be cumulatively considerable</w:t>
      </w:r>
      <w:r w:rsidRPr="00297B36">
        <w:rPr>
          <w:spacing w:val="-1"/>
        </w:rPr>
        <w:t>.</w:t>
      </w:r>
    </w:p>
    <w:p w14:paraId="381F6C4B" w14:textId="5B34CF7E" w:rsidR="003045D2" w:rsidRPr="00383B47" w:rsidRDefault="003045D2" w:rsidP="0021521F">
      <w:pPr>
        <w:pStyle w:val="BodyText"/>
      </w:pPr>
      <w:r w:rsidRPr="00A62096">
        <w:t>The other past, present, and reasonably foreseeable projects identified in Section 4.</w:t>
      </w:r>
      <w:r w:rsidR="007C75FD">
        <w:t>3</w:t>
      </w:r>
      <w:r w:rsidRPr="00A62096">
        <w:t xml:space="preserve">, </w:t>
      </w:r>
      <w:r w:rsidR="00CC081D">
        <w:t>“</w:t>
      </w:r>
      <w:r w:rsidRPr="00A62096">
        <w:t>Related Projects and Plans,</w:t>
      </w:r>
      <w:r w:rsidR="00CC081D">
        <w:t>”</w:t>
      </w:r>
      <w:r w:rsidRPr="00A62096">
        <w:t xml:space="preserve"> combined with the proposed CalVTP activities </w:t>
      </w:r>
      <w:r>
        <w:t>w</w:t>
      </w:r>
      <w:r w:rsidRPr="00A62096">
        <w:t>ould</w:t>
      </w:r>
      <w:r>
        <w:t xml:space="preserve"> not</w:t>
      </w:r>
      <w:r w:rsidRPr="00A62096">
        <w:t xml:space="preserve"> result in a significant cumulative health hazard or cumulative </w:t>
      </w:r>
      <w:r>
        <w:t>impact</w:t>
      </w:r>
      <w:r w:rsidRPr="00A62096">
        <w:t xml:space="preserve"> to the environment from the use of herbicid</w:t>
      </w:r>
      <w:r w:rsidRPr="00383B47">
        <w:t>es</w:t>
      </w:r>
      <w:r>
        <w:t xml:space="preserve"> because of the strict registration process of pesticides in California by the </w:t>
      </w:r>
      <w:r w:rsidR="001F1BFA">
        <w:t>California Department of Pesticide Regulation (</w:t>
      </w:r>
      <w:r>
        <w:t>DPR</w:t>
      </w:r>
      <w:r w:rsidR="001F1BFA">
        <w:t>)</w:t>
      </w:r>
      <w:r>
        <w:t xml:space="preserve"> and numerous regulations controlling the storage, use, and disposal of pesticides (e.g., by EPA, DTSC, DPR and others)</w:t>
      </w:r>
      <w:r w:rsidRPr="00383B47">
        <w:t>. As described in Impact HAZ-2</w:t>
      </w:r>
      <w:r>
        <w:t>,</w:t>
      </w:r>
      <w:r w:rsidRPr="00383B47">
        <w:t xml:space="preserve"> </w:t>
      </w:r>
      <w:r w:rsidR="001F1BFA">
        <w:t>h</w:t>
      </w:r>
      <w:r w:rsidRPr="00383B47">
        <w:t xml:space="preserve">erbicide application associated with the CalVTP would require increased transportation, use, storage, and disposal of various herbicides, which could result in risks related to human exposure when applied in areas in close proximity to the public. Under normal conditions, compliance with </w:t>
      </w:r>
      <w:r w:rsidR="00254BF7">
        <w:t>relevant</w:t>
      </w:r>
      <w:r w:rsidR="00254BF7" w:rsidRPr="00383B47">
        <w:t xml:space="preserve"> </w:t>
      </w:r>
      <w:r w:rsidRPr="00383B47">
        <w:t xml:space="preserve">laws, regulations, and herbicide label instructions, along with proper </w:t>
      </w:r>
      <w:r w:rsidR="00254BF7">
        <w:t>personal protective equipment (</w:t>
      </w:r>
      <w:r w:rsidRPr="00383B47">
        <w:t>PPE</w:t>
      </w:r>
      <w:r w:rsidR="00254BF7">
        <w:t>)</w:t>
      </w:r>
      <w:r w:rsidRPr="00383B47">
        <w:t>, would prevent significant risks related to human exposure to herbicides. However, potentially adverse effects could occur if a large spill were to occur or should spraying from equipment on vehicles occur in close proximity to public areas. Several SPRs have been incorporated into the program to minimize the potential for significant health risks (</w:t>
      </w:r>
      <w:r>
        <w:t xml:space="preserve">SPR </w:t>
      </w:r>
      <w:r w:rsidRPr="008911C1">
        <w:t>HAZ-</w:t>
      </w:r>
      <w:r w:rsidR="0053153A">
        <w:t>5</w:t>
      </w:r>
      <w:r w:rsidRPr="008911C1">
        <w:t xml:space="preserve"> </w:t>
      </w:r>
      <w:r w:rsidR="00254BF7">
        <w:t>through</w:t>
      </w:r>
      <w:r w:rsidR="0053153A">
        <w:t xml:space="preserve"> </w:t>
      </w:r>
      <w:r w:rsidR="00254BF7">
        <w:t>HAZ-</w:t>
      </w:r>
      <w:r>
        <w:t>9</w:t>
      </w:r>
      <w:r w:rsidRPr="008911C1">
        <w:t>).</w:t>
      </w:r>
      <w:r w:rsidRPr="00886672">
        <w:t xml:space="preserve"> These SPRs require project proponents </w:t>
      </w:r>
      <w:r>
        <w:t xml:space="preserve">to </w:t>
      </w:r>
      <w:r w:rsidRPr="00886672">
        <w:t>prepare a Spill Prevention and Response Plan (SPRP) prior to beginning herbicide treatment activities</w:t>
      </w:r>
      <w:r w:rsidRPr="001D28CF">
        <w:t xml:space="preserve"> to provide protection to onsite workers, the public, and the environment from accidental leaks or spills of herbicides, adjuvants, or other potential contaminants</w:t>
      </w:r>
      <w:r>
        <w:t xml:space="preserve"> (SPR HAZ-</w:t>
      </w:r>
      <w:r w:rsidR="0053153A">
        <w:t>5</w:t>
      </w:r>
      <w:r>
        <w:t>);</w:t>
      </w:r>
      <w:r w:rsidRPr="00886672">
        <w:t xml:space="preserve"> comply with all herbicide application regulations</w:t>
      </w:r>
      <w:r>
        <w:t xml:space="preserve"> to protect the safety of workers and the public during the transport, use, storage, and disposal of herbicides (SPR HAZ-</w:t>
      </w:r>
      <w:r w:rsidR="0053153A">
        <w:t>6</w:t>
      </w:r>
      <w:r>
        <w:t>)</w:t>
      </w:r>
      <w:r w:rsidRPr="00886672">
        <w:t>; triple rinse herbicide containers with clean water at an approved site and dispose of rinsate per 3 CCR Section 6684</w:t>
      </w:r>
      <w:r>
        <w:t xml:space="preserve"> </w:t>
      </w:r>
      <w:r w:rsidRPr="00886672">
        <w:t>and dispose of all herbicides following label requirements and waste disposal regulations</w:t>
      </w:r>
      <w:r>
        <w:t xml:space="preserve"> to avoid direct contamination to a water body or watershed (SPR HAZ-</w:t>
      </w:r>
      <w:r w:rsidR="0053153A">
        <w:t>7</w:t>
      </w:r>
      <w:r>
        <w:t>);</w:t>
      </w:r>
      <w:r w:rsidRPr="00D56E7F">
        <w:t xml:space="preserve"> employ techniques during herbicide application to minimize drift (SPR HAZ-8); and include signage indicating that herbicide application is </w:t>
      </w:r>
      <w:r>
        <w:t xml:space="preserve">occurring </w:t>
      </w:r>
      <w:r w:rsidRPr="00D56E7F">
        <w:t xml:space="preserve">or has occurred where members of the public could be present within </w:t>
      </w:r>
      <w:r w:rsidR="00BE2664">
        <w:t>500 feet</w:t>
      </w:r>
      <w:r w:rsidRPr="00D56E7F">
        <w:t xml:space="preserve"> of areas receiving herbicide treatments (SPR HAZ-9</w:t>
      </w:r>
      <w:r>
        <w:t>).</w:t>
      </w:r>
      <w:r w:rsidRPr="00383B47">
        <w:t xml:space="preserve"> Therefore,</w:t>
      </w:r>
      <w:r>
        <w:t xml:space="preserve"> with the incorporation of SPRs to protect public health and safety from herbicide use,</w:t>
      </w:r>
      <w:r w:rsidRPr="00383B47">
        <w:t xml:space="preserve"> the CalVTP</w:t>
      </w:r>
      <w:r w:rsidR="00CC081D">
        <w:t>’</w:t>
      </w:r>
      <w:r w:rsidRPr="00383B47">
        <w:t xml:space="preserve">s contribution to cumulative impacts related to herbicide use </w:t>
      </w:r>
      <w:r w:rsidRPr="00254BF7">
        <w:rPr>
          <w:b/>
        </w:rPr>
        <w:t>would not be cumulatively considerable</w:t>
      </w:r>
      <w:r w:rsidRPr="00383B47">
        <w:t>.</w:t>
      </w:r>
    </w:p>
    <w:p w14:paraId="56ED6025" w14:textId="1CC7F895" w:rsidR="00ED0285" w:rsidRPr="00ED0285" w:rsidRDefault="003045D2" w:rsidP="0021521F">
      <w:pPr>
        <w:pStyle w:val="BodyText"/>
      </w:pPr>
      <w:r w:rsidRPr="005901BC">
        <w:t>The other past, present, and reasonably foreseeable projects identified in Section 4.</w:t>
      </w:r>
      <w:r w:rsidR="007C75FD">
        <w:t>3</w:t>
      </w:r>
      <w:r w:rsidRPr="005901BC">
        <w:t xml:space="preserve">, </w:t>
      </w:r>
      <w:r w:rsidR="00CC081D">
        <w:t>“</w:t>
      </w:r>
      <w:r w:rsidRPr="005901BC">
        <w:t>Related Projects and Plans,</w:t>
      </w:r>
      <w:r w:rsidR="00CC081D">
        <w:t>”</w:t>
      </w:r>
      <w:r w:rsidRPr="005901BC">
        <w:t xml:space="preserve"> combined with the proposed CalVTP activities</w:t>
      </w:r>
      <w:r>
        <w:t>,</w:t>
      </w:r>
      <w:r w:rsidRPr="005901BC">
        <w:t xml:space="preserve"> would not result in significant</w:t>
      </w:r>
      <w:r>
        <w:t xml:space="preserve"> cumulative</w:t>
      </w:r>
      <w:r w:rsidRPr="005901BC">
        <w:t xml:space="preserve"> </w:t>
      </w:r>
      <w:r>
        <w:t>impacts related to</w:t>
      </w:r>
      <w:r w:rsidRPr="00A62096">
        <w:t xml:space="preserve"> risks from disturbance to known hazardous material sites </w:t>
      </w:r>
      <w:r w:rsidRPr="003C2DB7">
        <w:t>because</w:t>
      </w:r>
      <w:r>
        <w:t xml:space="preserve"> the</w:t>
      </w:r>
      <w:r w:rsidRPr="003C2DB7">
        <w:t xml:space="preserve"> other projects</w:t>
      </w:r>
      <w:r>
        <w:t xml:space="preserve"> are</w:t>
      </w:r>
      <w:r w:rsidRPr="003C2DB7">
        <w:t xml:space="preserve"> implementing the same types of treatment </w:t>
      </w:r>
      <w:r w:rsidRPr="00FD7A90">
        <w:t xml:space="preserve">activities as the proposed CalVTP </w:t>
      </w:r>
      <w:r>
        <w:t xml:space="preserve">and </w:t>
      </w:r>
      <w:r w:rsidRPr="00FD7A90">
        <w:t xml:space="preserve">would be implemented in </w:t>
      </w:r>
      <w:r>
        <w:t xml:space="preserve">undeveloped areas </w:t>
      </w:r>
      <w:r w:rsidRPr="00FD7A90">
        <w:t>that have a low probability of containing hazardous materials sites</w:t>
      </w:r>
      <w:r>
        <w:t>, and those projects occurring in more developed areas where hazardous materials sites could be present, such as development directed by general plans, any hazardous materials would need to be identified and remediated prior to breaking ground. Furthermore,</w:t>
      </w:r>
      <w:r w:rsidRPr="00FD7A90">
        <w:t xml:space="preserve"> impacts associated with hazardous materials sites are project-specific and highly localized</w:t>
      </w:r>
      <w:r>
        <w:t xml:space="preserve">; </w:t>
      </w:r>
      <w:r w:rsidR="002A7FEA">
        <w:t>thus,</w:t>
      </w:r>
      <w:r>
        <w:t xml:space="preserve"> the potential for cumulative impacts in these undeveloped areas are even less likely to occur</w:t>
      </w:r>
      <w:r w:rsidRPr="00FD7A90">
        <w:t xml:space="preserve">. As described in Impact HAZ-3, </w:t>
      </w:r>
      <w:r w:rsidR="00254BF7">
        <w:t>s</w:t>
      </w:r>
      <w:r w:rsidRPr="00FD7A90">
        <w:t xml:space="preserve">oil disturbance through mechanical treatments and the </w:t>
      </w:r>
      <w:r w:rsidR="00342A5A">
        <w:t xml:space="preserve">prescribed </w:t>
      </w:r>
      <w:r w:rsidRPr="00FD7A90">
        <w:t xml:space="preserve">burning have the potential to expose workers and the public to risks associated with existing hazardous materials if present within a </w:t>
      </w:r>
      <w:r w:rsidR="00342A5A">
        <w:t xml:space="preserve">treatment </w:t>
      </w:r>
      <w:r w:rsidRPr="00FD7A90">
        <w:t xml:space="preserve">site. </w:t>
      </w:r>
      <w:r w:rsidRPr="00562688">
        <w:t>Mitigation Measure HAZ-3 requires</w:t>
      </w:r>
      <w:r>
        <w:t>, i</w:t>
      </w:r>
      <w:r w:rsidRPr="00562688">
        <w:t xml:space="preserve">f a potential for hazardous waste is identified within a </w:t>
      </w:r>
      <w:r w:rsidR="00342A5A">
        <w:t>treatment</w:t>
      </w:r>
      <w:r w:rsidRPr="00562688">
        <w:t xml:space="preserve"> site, </w:t>
      </w:r>
      <w:r>
        <w:t xml:space="preserve">that </w:t>
      </w:r>
      <w:r w:rsidRPr="00562688">
        <w:t xml:space="preserve">project proponents </w:t>
      </w:r>
      <w:r w:rsidR="00342A5A">
        <w:t xml:space="preserve">will </w:t>
      </w:r>
      <w:r w:rsidRPr="00562688">
        <w:t>review DTSC</w:t>
      </w:r>
      <w:r w:rsidR="00CC081D">
        <w:t>’</w:t>
      </w:r>
      <w:r w:rsidRPr="00562688">
        <w:t xml:space="preserve">s Cortese List to determine whether a known hazardous waste site is present within the boundary of a </w:t>
      </w:r>
      <w:r w:rsidR="00342A5A">
        <w:t>treatment</w:t>
      </w:r>
      <w:r w:rsidR="00342A5A" w:rsidRPr="00562688">
        <w:t xml:space="preserve"> </w:t>
      </w:r>
      <w:r w:rsidRPr="00562688">
        <w:t>site</w:t>
      </w:r>
      <w:r w:rsidR="00342A5A">
        <w:t>,</w:t>
      </w:r>
      <w:r w:rsidRPr="00562688">
        <w:t xml:space="preserve"> </w:t>
      </w:r>
      <w:r>
        <w:t>and prohibit</w:t>
      </w:r>
      <w:r w:rsidRPr="00562688">
        <w:t xml:space="preserve"> prescribed burning or soil disturbing treatment activities within 100 feet of its boundaries. Because any hazardous waste sites that could be affected by treatment activities would be identified and avoided, no related risks associated with the disturbance of a hazardous waste site to the public or environment would occur. </w:t>
      </w:r>
      <w:r w:rsidRPr="00FD7A90">
        <w:t>Therefore, the CalVTP</w:t>
      </w:r>
      <w:r w:rsidR="00CC081D">
        <w:t>’</w:t>
      </w:r>
      <w:r w:rsidRPr="00FD7A90">
        <w:t>s contribution to impacts</w:t>
      </w:r>
      <w:r>
        <w:t xml:space="preserve"> associated with known hazardous materials sites</w:t>
      </w:r>
      <w:r w:rsidRPr="00FD7A90">
        <w:t xml:space="preserve"> from implementation of treatment activities </w:t>
      </w:r>
      <w:r w:rsidRPr="00342A5A">
        <w:rPr>
          <w:b/>
        </w:rPr>
        <w:t>would not be cumulatively considerable</w:t>
      </w:r>
      <w:r w:rsidRPr="00FD7A90">
        <w:t>.</w:t>
      </w:r>
    </w:p>
    <w:p w14:paraId="3647ECB6" w14:textId="6B8E5D2E" w:rsidR="00ED0285" w:rsidRPr="00581BB3" w:rsidRDefault="00ED0285" w:rsidP="00ED0285">
      <w:pPr>
        <w:pStyle w:val="Heading3"/>
      </w:pPr>
      <w:r w:rsidRPr="00581BB3">
        <w:lastRenderedPageBreak/>
        <w:t>Hydrology and Water Quality</w:t>
      </w:r>
    </w:p>
    <w:p w14:paraId="74E63516" w14:textId="609DA7EF" w:rsidR="003045D2" w:rsidRDefault="003045D2" w:rsidP="0021521F">
      <w:pPr>
        <w:pStyle w:val="BodyText"/>
      </w:pPr>
      <w:r>
        <w:t xml:space="preserve">The geographic scope within which cumulative impacts related to hydrology and water quality for the CalVTP </w:t>
      </w:r>
      <w:r w:rsidR="00581BB3">
        <w:t xml:space="preserve">are </w:t>
      </w:r>
      <w:r>
        <w:t>California</w:t>
      </w:r>
      <w:r w:rsidR="00CC081D">
        <w:t>’</w:t>
      </w:r>
      <w:r>
        <w:t>s hydrologic regions and groundwater basins, which are described in the Environmental Setting of Section</w:t>
      </w:r>
      <w:r w:rsidR="0021521F">
        <w:t> </w:t>
      </w:r>
      <w:r>
        <w:t xml:space="preserve">3.11, </w:t>
      </w:r>
      <w:r w:rsidR="00CC081D">
        <w:t>“</w:t>
      </w:r>
      <w:r>
        <w:t>Hydrology and Water Quality</w:t>
      </w:r>
      <w:r w:rsidR="00CC081D">
        <w:t>.”</w:t>
      </w:r>
      <w:r>
        <w:t xml:space="preserve"> </w:t>
      </w:r>
    </w:p>
    <w:p w14:paraId="65E896A0" w14:textId="77777777" w:rsidR="004348B7" w:rsidRDefault="003045D2" w:rsidP="00F02104">
      <w:pPr>
        <w:pStyle w:val="BodyText"/>
      </w:pPr>
      <w:r>
        <w:t xml:space="preserve">Water quality in California has been strongly influenced by land use and development. Intensive development in urban watersheds has modified local hydrology and generated urban pollutant loads in surface waters and groundwater basins. Historic mining, industrial, and agricultural uses have also contributed to the degradation of surface and groundwater throughout the state. In addition to the direct discharge of pollutants from these land uses, some surface and groundwater resources have been diverted or drawn down below historic levels resulting in reduced flow volumes and declining aquifer levels. In 2016, the </w:t>
      </w:r>
      <w:r w:rsidR="00581BB3">
        <w:t>SWRCB</w:t>
      </w:r>
      <w:r w:rsidR="00CC081D">
        <w:t>’</w:t>
      </w:r>
      <w:r w:rsidR="00CB665B">
        <w:t>s</w:t>
      </w:r>
      <w:r w:rsidR="00581BB3">
        <w:t xml:space="preserve"> </w:t>
      </w:r>
      <w:r>
        <w:t>assessment of waterbody pollutants found over 2,600 impaired waterbodies throughout the state (SWRCB 2017). A variety of contaminants ha</w:t>
      </w:r>
      <w:r w:rsidR="00581BB3">
        <w:t>ve</w:t>
      </w:r>
      <w:r>
        <w:t xml:space="preserve"> also been found in California</w:t>
      </w:r>
      <w:r w:rsidR="00CC081D">
        <w:t>’</w:t>
      </w:r>
      <w:r>
        <w:t xml:space="preserve">s groundwater (DWR 1998) and </w:t>
      </w:r>
      <w:r w:rsidR="00581BB3">
        <w:t>approximately 4</w:t>
      </w:r>
      <w:r>
        <w:t xml:space="preserve"> percent of groundwater basins are in critical overdraft (DWR 2016). </w:t>
      </w:r>
    </w:p>
    <w:p w14:paraId="3E8F954A" w14:textId="27D5D08D" w:rsidR="003045D2" w:rsidRDefault="00736FB8" w:rsidP="0021521F">
      <w:pPr>
        <w:pStyle w:val="BodyText"/>
      </w:pPr>
      <w:r w:rsidRPr="000A4E0E">
        <w:rPr>
          <w:u w:val="single"/>
        </w:rPr>
        <w:t xml:space="preserve">In addition to historic projects and land use activities, Section 4.3, “Related Projects and Plans” lists several similar </w:t>
      </w:r>
      <w:proofErr w:type="gramStart"/>
      <w:r w:rsidRPr="000A4E0E">
        <w:rPr>
          <w:u w:val="single"/>
        </w:rPr>
        <w:t>past</w:t>
      </w:r>
      <w:proofErr w:type="gramEnd"/>
      <w:r w:rsidRPr="000A4E0E">
        <w:rPr>
          <w:u w:val="single"/>
        </w:rPr>
        <w:t xml:space="preserve">, present, and reasonably foreseeable projects have and likely will result in impacts water quality. These projects include past fire suppression activities that have been widespread, other vegetation management efforts (e.g., CAL FIRE VMP, EO N-05-19, vegetation treatments implemented by local agencies outside of the SRA), timber harvest, recreation and transportation projects, maintenance activities, and urban development as guided by city and county general plans and specific plans. Many of these projects would be discretionary and subject to environmental review under CEQA and would implement mitigation measures to prevent adverse water quality effects. Additionally, projects subject to State Water Resources Control Board (SWRCB) or Regional Water Quality Control Board (RWQCB) oversight would include best practices and water quality protections. The 35 priority projects identified under EO N-05-19 would include treatment of approximately 95,000 acres across 35 priority projects. Due to the emergency nature of these projects, they would be exempt from CEQA review. CAL FIRE would identify and avoid sensitive water resources through the presence of trained crews (e.g., RPFs) onsite to identify natural resources, and consultation with CDFW, SWRCB, and </w:t>
      </w:r>
      <w:r w:rsidR="004348B7" w:rsidRPr="000A4E0E">
        <w:rPr>
          <w:u w:val="single"/>
        </w:rPr>
        <w:t>RWQCBs</w:t>
      </w:r>
      <w:r w:rsidRPr="000A4E0E">
        <w:rPr>
          <w:u w:val="single"/>
        </w:rPr>
        <w:t xml:space="preserve">. </w:t>
      </w:r>
      <w:r w:rsidR="004348B7" w:rsidRPr="000A4E0E">
        <w:rPr>
          <w:u w:val="single"/>
        </w:rPr>
        <w:t>While present and reasonably foreseeable projects</w:t>
      </w:r>
      <w:r w:rsidR="00A9006C" w:rsidRPr="000A4E0E">
        <w:rPr>
          <w:u w:val="single"/>
        </w:rPr>
        <w:t xml:space="preserve"> described above</w:t>
      </w:r>
      <w:r w:rsidR="004348B7" w:rsidRPr="000A4E0E">
        <w:rPr>
          <w:u w:val="single"/>
        </w:rPr>
        <w:t xml:space="preserve"> </w:t>
      </w:r>
      <w:r w:rsidR="00A544D2" w:rsidRPr="000A4E0E">
        <w:rPr>
          <w:u w:val="single"/>
        </w:rPr>
        <w:t>are generally subject to effective water quality protections</w:t>
      </w:r>
      <w:r w:rsidR="00A03B73" w:rsidRPr="000A4E0E">
        <w:rPr>
          <w:u w:val="single"/>
        </w:rPr>
        <w:t xml:space="preserve"> that prevent degradation of water resources</w:t>
      </w:r>
      <w:r w:rsidR="00A544D2" w:rsidRPr="000A4E0E">
        <w:rPr>
          <w:u w:val="single"/>
        </w:rPr>
        <w:t xml:space="preserve">, </w:t>
      </w:r>
      <w:proofErr w:type="spellStart"/>
      <w:r w:rsidR="003045D2" w:rsidRPr="000A4E0E">
        <w:rPr>
          <w:strike/>
        </w:rPr>
        <w:t>T</w:t>
      </w:r>
      <w:r w:rsidR="003A227D" w:rsidRPr="000A4E0E">
        <w:rPr>
          <w:u w:val="single"/>
        </w:rPr>
        <w:t>t</w:t>
      </w:r>
      <w:r w:rsidR="003045D2">
        <w:t>hese</w:t>
      </w:r>
      <w:proofErr w:type="spellEnd"/>
      <w:r w:rsidR="003045D2">
        <w:t xml:space="preserve"> conditions have created an existing </w:t>
      </w:r>
      <w:r w:rsidR="003045D2" w:rsidRPr="000A4E0E">
        <w:rPr>
          <w:strike/>
        </w:rPr>
        <w:t xml:space="preserve">adverse </w:t>
      </w:r>
      <w:r w:rsidR="003A227D" w:rsidRPr="000A4E0E">
        <w:rPr>
          <w:u w:val="single"/>
        </w:rPr>
        <w:t xml:space="preserve">significant </w:t>
      </w:r>
      <w:r w:rsidR="003045D2">
        <w:t xml:space="preserve">cumulative </w:t>
      </w:r>
      <w:r w:rsidR="003045D2" w:rsidRPr="000A4E0E">
        <w:rPr>
          <w:strike/>
        </w:rPr>
        <w:t xml:space="preserve">condition </w:t>
      </w:r>
      <w:r w:rsidR="003A227D" w:rsidRPr="000A4E0E">
        <w:rPr>
          <w:u w:val="single"/>
        </w:rPr>
        <w:t xml:space="preserve">impact </w:t>
      </w:r>
      <w:r w:rsidR="003045D2">
        <w:t xml:space="preserve">for hydrology and water quality </w:t>
      </w:r>
      <w:r w:rsidR="00581BB3">
        <w:t>with</w:t>
      </w:r>
      <w:r w:rsidR="003045D2">
        <w:t xml:space="preserve">in the state. </w:t>
      </w:r>
    </w:p>
    <w:p w14:paraId="4F99A393" w14:textId="09A0BD91" w:rsidR="00ED0285" w:rsidRPr="00ED0285" w:rsidRDefault="003045D2" w:rsidP="0021521F">
      <w:pPr>
        <w:pStyle w:val="BodyText"/>
      </w:pPr>
      <w:r>
        <w:t xml:space="preserve">As described in Section 3.11, </w:t>
      </w:r>
      <w:r w:rsidR="00CC081D">
        <w:t>“</w:t>
      </w:r>
      <w:r>
        <w:t>Hydrology and Water Quality,</w:t>
      </w:r>
      <w:r w:rsidR="00CC081D">
        <w:t>”</w:t>
      </w:r>
      <w:r w:rsidRPr="0051306D">
        <w:t xml:space="preserve"> </w:t>
      </w:r>
      <w:r w:rsidRPr="00E5210D">
        <w:t xml:space="preserve">the </w:t>
      </w:r>
      <w:r>
        <w:t>CalVTP would avoid</w:t>
      </w:r>
      <w:r w:rsidRPr="00E5210D">
        <w:t xml:space="preserve"> significant </w:t>
      </w:r>
      <w:r>
        <w:t>adverse effects</w:t>
      </w:r>
      <w:r w:rsidRPr="00E5210D">
        <w:t xml:space="preserve"> </w:t>
      </w:r>
      <w:r>
        <w:t>to water quality and hydrology</w:t>
      </w:r>
      <w:r w:rsidRPr="00E5210D">
        <w:t xml:space="preserve"> through the </w:t>
      </w:r>
      <w:r>
        <w:t xml:space="preserve">incorporation of SPRs </w:t>
      </w:r>
      <w:r w:rsidR="00581BB3">
        <w:t xml:space="preserve">that </w:t>
      </w:r>
      <w:r>
        <w:t xml:space="preserve">protect water quality by: </w:t>
      </w:r>
      <w:r w:rsidR="00A9006C" w:rsidRPr="000A4E0E">
        <w:rPr>
          <w:u w:val="single"/>
        </w:rPr>
        <w:t xml:space="preserve">requiring protective buffers around </w:t>
      </w:r>
      <w:r w:rsidR="008B0CAE" w:rsidRPr="000A4E0E">
        <w:rPr>
          <w:u w:val="single"/>
        </w:rPr>
        <w:t xml:space="preserve">water resources (SPR BIO-1, SPR HYD-4), </w:t>
      </w:r>
      <w:r>
        <w:t>minimizing erosion</w:t>
      </w:r>
      <w:r w:rsidR="008B0CAE" w:rsidRPr="000A4E0E">
        <w:rPr>
          <w:u w:val="single"/>
        </w:rPr>
        <w:t xml:space="preserve"> (SPR GEO-1, SPR GEO-2, SPR GEO-3, SPR GEO-4, SPR GEO-8)</w:t>
      </w:r>
      <w:r>
        <w:t>; prohibiting the use of heavy equipment</w:t>
      </w:r>
      <w:r w:rsidR="008B0CAE" w:rsidRPr="000A4E0E">
        <w:rPr>
          <w:u w:val="single"/>
        </w:rPr>
        <w:t xml:space="preserve"> in sensitive areas (SPR GEO-7</w:t>
      </w:r>
      <w:r w:rsidR="00594A4A">
        <w:rPr>
          <w:u w:val="single"/>
        </w:rPr>
        <w:t>)</w:t>
      </w:r>
      <w:r>
        <w:t>, non-aquatic herbicide formulations</w:t>
      </w:r>
      <w:r w:rsidR="008B0CAE" w:rsidRPr="000A4E0E">
        <w:rPr>
          <w:u w:val="single"/>
        </w:rPr>
        <w:t xml:space="preserve"> (SPR HYD-5)</w:t>
      </w:r>
      <w:r>
        <w:t>, or prescribed herbivory near watercourses</w:t>
      </w:r>
      <w:r w:rsidR="008B0CAE" w:rsidRPr="000A4E0E">
        <w:rPr>
          <w:u w:val="single"/>
        </w:rPr>
        <w:t xml:space="preserve"> (SPR HYD-3)</w:t>
      </w:r>
      <w:r>
        <w:t xml:space="preserve">; requiring careful planning of prescribed </w:t>
      </w:r>
      <w:r w:rsidR="00581BB3">
        <w:t xml:space="preserve">burning </w:t>
      </w:r>
      <w:r>
        <w:t>to avoid severe burns</w:t>
      </w:r>
      <w:r w:rsidR="008B0CAE" w:rsidRPr="000A4E0E">
        <w:rPr>
          <w:u w:val="single"/>
        </w:rPr>
        <w:t xml:space="preserve"> (SPR AQ-3)</w:t>
      </w:r>
      <w:r>
        <w:t>; and requiring ground disturbing activities to maintain pre-disturbance drainage features and conditions</w:t>
      </w:r>
      <w:r w:rsidR="008B0CAE" w:rsidRPr="000A4E0E">
        <w:rPr>
          <w:u w:val="single"/>
        </w:rPr>
        <w:t xml:space="preserve"> (SPR BIO-4, SPR BIO-5,</w:t>
      </w:r>
      <w:r w:rsidR="00A9006C" w:rsidRPr="000A4E0E">
        <w:rPr>
          <w:u w:val="single"/>
        </w:rPr>
        <w:t xml:space="preserve"> SPRHYD-6)</w:t>
      </w:r>
      <w:r w:rsidRPr="000A4E0E">
        <w:rPr>
          <w:u w:val="single"/>
        </w:rPr>
        <w:t xml:space="preserve">. </w:t>
      </w:r>
      <w:r w:rsidR="00797DDC" w:rsidRPr="00797DDC">
        <w:rPr>
          <w:u w:val="single"/>
        </w:rPr>
        <w:t xml:space="preserve">In addition, no fire ignition (and associated use of accelerants) would be located within WLPZs (SPR HYD-4), which would prevent degradation of water quality. </w:t>
      </w:r>
      <w:r w:rsidR="00A03B73" w:rsidRPr="000A4E0E">
        <w:rPr>
          <w:u w:val="single"/>
        </w:rPr>
        <w:t xml:space="preserve">The program would also be subject to mitigation measures designed to protect biological resources, which have the collateral effect of ensuring water quality protections through additional layers of review and oversight. </w:t>
      </w:r>
      <w:r w:rsidR="00EF09D0">
        <w:t>Therefore, w</w:t>
      </w:r>
      <w:r>
        <w:t>ith implementation of relevant SPRs</w:t>
      </w:r>
      <w:r w:rsidR="00A03B73" w:rsidRPr="000A4E0E">
        <w:rPr>
          <w:u w:val="single"/>
        </w:rPr>
        <w:t xml:space="preserve"> and mitigation measures</w:t>
      </w:r>
      <w:r>
        <w:t xml:space="preserve">, </w:t>
      </w:r>
      <w:r w:rsidR="00EF09D0">
        <w:t>the CalVTP</w:t>
      </w:r>
      <w:r w:rsidR="00CC081D">
        <w:t>’</w:t>
      </w:r>
      <w:r w:rsidR="00EF09D0">
        <w:t>s</w:t>
      </w:r>
      <w:r>
        <w:t xml:space="preserve"> contribution to cumulative water quality impacts in California</w:t>
      </w:r>
      <w:r w:rsidR="00CC081D">
        <w:t>’</w:t>
      </w:r>
      <w:r>
        <w:t xml:space="preserve">s hydrologic regions and groundwater basins </w:t>
      </w:r>
      <w:r w:rsidRPr="00581BB3">
        <w:rPr>
          <w:b/>
        </w:rPr>
        <w:t>would not be cumulatively considerable</w:t>
      </w:r>
      <w:r>
        <w:t>.</w:t>
      </w:r>
    </w:p>
    <w:p w14:paraId="0050DAC3" w14:textId="54250D9A" w:rsidR="00ED0285" w:rsidRDefault="00ED0285" w:rsidP="00ED0285">
      <w:pPr>
        <w:pStyle w:val="Heading3"/>
      </w:pPr>
      <w:r w:rsidRPr="007C2DEB">
        <w:t>Land Use and Planning, Population and Housing</w:t>
      </w:r>
    </w:p>
    <w:p w14:paraId="2B004EF2" w14:textId="77777777" w:rsidR="00E85DE0" w:rsidRPr="003B52BD" w:rsidRDefault="00E85DE0" w:rsidP="00E85DE0">
      <w:pPr>
        <w:pStyle w:val="Heading4"/>
      </w:pPr>
      <w:r w:rsidRPr="00DB3FCC">
        <w:t>Land Use and Planning</w:t>
      </w:r>
    </w:p>
    <w:p w14:paraId="45E163DE" w14:textId="36C5028D" w:rsidR="00E85DE0" w:rsidRDefault="00E85DE0" w:rsidP="0084342B">
      <w:pPr>
        <w:pStyle w:val="BodyText"/>
        <w:spacing w:line="260" w:lineRule="exact"/>
      </w:pPr>
      <w:r>
        <w:t xml:space="preserve">The geographic scope for the land use and planning cumulative analysis is the treatable landscape. As described in Impact LU-1, implementation of CalVTP would include treatment activities that would occur on lands owned by </w:t>
      </w:r>
      <w:r>
        <w:lastRenderedPageBreak/>
        <w:t xml:space="preserve">various types of owners, including private, state, local agency, and non-profit organizations among other types of organizations, that are subject to applicable land use plans, such as general plans for state parks, Land Management Plans for </w:t>
      </w:r>
      <w:r w:rsidR="00DB3FCC">
        <w:t>CDFW</w:t>
      </w:r>
      <w:r>
        <w:t xml:space="preserve"> </w:t>
      </w:r>
      <w:r w:rsidRPr="004B7BAB">
        <w:t>wildlife areas and ecological reserves</w:t>
      </w:r>
      <w:r>
        <w:t>, and general plans for local jurisdictions. The analysis determined that CalVTP would not c</w:t>
      </w:r>
      <w:r w:rsidRPr="00F9736F">
        <w:t xml:space="preserve">ause a </w:t>
      </w:r>
      <w:r>
        <w:t>s</w:t>
      </w:r>
      <w:r w:rsidRPr="00F9736F">
        <w:t xml:space="preserve">ignificant </w:t>
      </w:r>
      <w:r>
        <w:t>e</w:t>
      </w:r>
      <w:r w:rsidRPr="00F9736F">
        <w:t xml:space="preserve">nvironmental </w:t>
      </w:r>
      <w:r>
        <w:t>i</w:t>
      </w:r>
      <w:r w:rsidRPr="00F9736F">
        <w:t xml:space="preserve">mpact </w:t>
      </w:r>
      <w:r w:rsidR="00DE71C6">
        <w:t>related</w:t>
      </w:r>
      <w:r w:rsidR="00DE71C6" w:rsidRPr="00F9736F">
        <w:t xml:space="preserve"> </w:t>
      </w:r>
      <w:r w:rsidRPr="00F9736F">
        <w:t xml:space="preserve">to a </w:t>
      </w:r>
      <w:r>
        <w:t>c</w:t>
      </w:r>
      <w:r w:rsidRPr="00F9736F">
        <w:t xml:space="preserve">onflict with a </w:t>
      </w:r>
      <w:r>
        <w:t>l</w:t>
      </w:r>
      <w:r w:rsidRPr="00F9736F">
        <w:t xml:space="preserve">and </w:t>
      </w:r>
      <w:r>
        <w:t>u</w:t>
      </w:r>
      <w:r w:rsidRPr="00F9736F">
        <w:t xml:space="preserve">se </w:t>
      </w:r>
      <w:r>
        <w:t>p</w:t>
      </w:r>
      <w:r w:rsidRPr="00F9736F">
        <w:t xml:space="preserve">lan, </w:t>
      </w:r>
      <w:r>
        <w:t>po</w:t>
      </w:r>
      <w:r w:rsidRPr="00F9736F">
        <w:t xml:space="preserve">licy, or </w:t>
      </w:r>
      <w:r>
        <w:t>r</w:t>
      </w:r>
      <w:r w:rsidRPr="00F9736F">
        <w:t>egulation</w:t>
      </w:r>
      <w:r>
        <w:t xml:space="preserve"> because projects on state lands would be designed in coordination with the state agency and consistent with its land management plan (e.g., general plans, land management plan); treatment activities in the Coastal Zone would implement applicable measures to avoid or reduce potential impacts or inconsistencies, as applicable, to obtain a coastal development permit in compliance with the Coastal Act; and, although CAL FIRE is not required to comply with local jurisdiction policies and regulations, all treatment activities would implement SPR AD-3, which would require project proponents to design and implement treatment activities in a manner that would be consistent with applicable local plans (e.g., general plans), policies, and ordinances to the extent the project is subject to them. Because implementation of treatment activities under CalVTP would be designed to comply with state management plans, Coastal Act requirements, and local jurisdiction policies and regulations, per SPR AD-3, the </w:t>
      </w:r>
      <w:r w:rsidR="00DE71C6">
        <w:t xml:space="preserve">CalVTP </w:t>
      </w:r>
      <w:r>
        <w:t>would not combine with other past, present, and planned future projects identified in Section 4.</w:t>
      </w:r>
      <w:r w:rsidR="007C75FD">
        <w:t>3</w:t>
      </w:r>
      <w:r>
        <w:t xml:space="preserve">, </w:t>
      </w:r>
      <w:r w:rsidR="00CC081D">
        <w:t>“</w:t>
      </w:r>
      <w:r>
        <w:t>Related Projects and Plans</w:t>
      </w:r>
      <w:r w:rsidR="00CC081D">
        <w:t>,”</w:t>
      </w:r>
      <w:r>
        <w:t xml:space="preserve"> to c</w:t>
      </w:r>
      <w:r w:rsidRPr="00F9736F">
        <w:t xml:space="preserve">ause a </w:t>
      </w:r>
      <w:r>
        <w:t>s</w:t>
      </w:r>
      <w:r w:rsidRPr="00F9736F">
        <w:t>ignificant</w:t>
      </w:r>
      <w:r>
        <w:t xml:space="preserve"> cumulative e</w:t>
      </w:r>
      <w:r w:rsidRPr="00F9736F">
        <w:t xml:space="preserve">nvironmental </w:t>
      </w:r>
      <w:r>
        <w:t>i</w:t>
      </w:r>
      <w:r w:rsidRPr="00F9736F">
        <w:t xml:space="preserve">mpact </w:t>
      </w:r>
      <w:r w:rsidR="00DE71C6">
        <w:t>related</w:t>
      </w:r>
      <w:r w:rsidR="00DE71C6" w:rsidRPr="00F9736F">
        <w:t xml:space="preserve"> </w:t>
      </w:r>
      <w:r w:rsidRPr="00F9736F">
        <w:t xml:space="preserve">to a </w:t>
      </w:r>
      <w:r>
        <w:t>c</w:t>
      </w:r>
      <w:r w:rsidRPr="00F9736F">
        <w:t xml:space="preserve">onflict with a </w:t>
      </w:r>
      <w:r>
        <w:t>l</w:t>
      </w:r>
      <w:r w:rsidRPr="00F9736F">
        <w:t xml:space="preserve">and </w:t>
      </w:r>
      <w:r>
        <w:t>u</w:t>
      </w:r>
      <w:r w:rsidRPr="00F9736F">
        <w:t xml:space="preserve">se </w:t>
      </w:r>
      <w:r>
        <w:t>p</w:t>
      </w:r>
      <w:r w:rsidRPr="00F9736F">
        <w:t xml:space="preserve">lan, </w:t>
      </w:r>
      <w:r>
        <w:t>po</w:t>
      </w:r>
      <w:r w:rsidRPr="00F9736F">
        <w:t xml:space="preserve">licy, or </w:t>
      </w:r>
      <w:r>
        <w:t>r</w:t>
      </w:r>
      <w:r w:rsidRPr="00F9736F">
        <w:t>egulation</w:t>
      </w:r>
      <w:r>
        <w:t>.</w:t>
      </w:r>
    </w:p>
    <w:p w14:paraId="72C12033" w14:textId="451491BF" w:rsidR="00E85DE0" w:rsidRDefault="00E85DE0" w:rsidP="0084342B">
      <w:pPr>
        <w:pStyle w:val="BodyText"/>
        <w:spacing w:line="260" w:lineRule="exact"/>
      </w:pPr>
      <w:r>
        <w:t xml:space="preserve">Because individual projects are required to be assessed for their potential to conflict with land use plans, policies, or regulations and mitigate any potential impacts, as necessary, there is not an existing significant cumulative impact related to conflicts with land use plans, policies, and regulations that are developed for the purpose of avoiding or mitigating an environmental effect. State agencies, including the proponents of some of the cumulative projects, are not generally required to comply with local plans, policies, or regulations; however, state agencies may choose to coordinate with local agencies to address potential inconsistencies of the project with local plans, policies, or regulations. As described above, later activities under CalVTP would implement SPR AD-3 to design and implement treatment activities in a manner that would be consistent with applicable local plans (e.g., general plans), policies, and ordinances to the extent the </w:t>
      </w:r>
      <w:r w:rsidR="008031CA">
        <w:t xml:space="preserve">treatment activity </w:t>
      </w:r>
      <w:r>
        <w:t xml:space="preserve">is subject to them; thus, </w:t>
      </w:r>
      <w:r w:rsidR="008031CA">
        <w:t xml:space="preserve">the </w:t>
      </w:r>
      <w:r>
        <w:t>CalVTP</w:t>
      </w:r>
      <w:r w:rsidR="00CC081D">
        <w:t>’</w:t>
      </w:r>
      <w:r w:rsidR="008031CA">
        <w:t>s contribution</w:t>
      </w:r>
      <w:r>
        <w:t xml:space="preserve"> </w:t>
      </w:r>
      <w:r w:rsidRPr="00F9736F">
        <w:t xml:space="preserve">to </w:t>
      </w:r>
      <w:r>
        <w:t>c</w:t>
      </w:r>
      <w:r w:rsidRPr="00F9736F">
        <w:t>onflict</w:t>
      </w:r>
      <w:r w:rsidR="008031CA">
        <w:t>s</w:t>
      </w:r>
      <w:r w:rsidRPr="00F9736F">
        <w:t xml:space="preserve"> with a </w:t>
      </w:r>
      <w:r>
        <w:t>l</w:t>
      </w:r>
      <w:r w:rsidRPr="00F9736F">
        <w:t xml:space="preserve">and </w:t>
      </w:r>
      <w:r>
        <w:t>u</w:t>
      </w:r>
      <w:r w:rsidRPr="00F9736F">
        <w:t xml:space="preserve">se </w:t>
      </w:r>
      <w:r>
        <w:t>p</w:t>
      </w:r>
      <w:r w:rsidRPr="00F9736F">
        <w:t>lan</w:t>
      </w:r>
      <w:r w:rsidR="008031CA">
        <w:t>s</w:t>
      </w:r>
      <w:r w:rsidRPr="00F9736F">
        <w:t xml:space="preserve">, </w:t>
      </w:r>
      <w:r>
        <w:t>po</w:t>
      </w:r>
      <w:r w:rsidRPr="00F9736F">
        <w:t>lic</w:t>
      </w:r>
      <w:r w:rsidR="008031CA">
        <w:t>ies</w:t>
      </w:r>
      <w:r w:rsidRPr="00F9736F">
        <w:t xml:space="preserve">, or </w:t>
      </w:r>
      <w:r>
        <w:t>r</w:t>
      </w:r>
      <w:r w:rsidRPr="00F9736F">
        <w:t>egulation</w:t>
      </w:r>
      <w:r w:rsidR="008031CA">
        <w:t xml:space="preserve">s </w:t>
      </w:r>
      <w:r w:rsidR="008031CA" w:rsidRPr="00526448">
        <w:rPr>
          <w:b/>
        </w:rPr>
        <w:t xml:space="preserve">would not </w:t>
      </w:r>
      <w:r w:rsidR="008031CA">
        <w:rPr>
          <w:b/>
        </w:rPr>
        <w:t xml:space="preserve">be </w:t>
      </w:r>
      <w:r w:rsidR="008031CA" w:rsidRPr="00526448">
        <w:rPr>
          <w:b/>
        </w:rPr>
        <w:t>cumulative</w:t>
      </w:r>
      <w:r w:rsidR="008031CA">
        <w:rPr>
          <w:b/>
        </w:rPr>
        <w:t>ly considerable</w:t>
      </w:r>
      <w:r>
        <w:t xml:space="preserve">. </w:t>
      </w:r>
    </w:p>
    <w:p w14:paraId="75FD3B96" w14:textId="77777777" w:rsidR="00E85DE0" w:rsidRDefault="00E85DE0" w:rsidP="00E85DE0">
      <w:pPr>
        <w:pStyle w:val="Heading4"/>
      </w:pPr>
      <w:r>
        <w:t>Population and Housing</w:t>
      </w:r>
    </w:p>
    <w:p w14:paraId="0EE3DB76" w14:textId="3EFFB0DE" w:rsidR="00E85DE0" w:rsidRPr="0084342B" w:rsidRDefault="00E85DE0" w:rsidP="0084342B">
      <w:pPr>
        <w:pStyle w:val="BodyText"/>
        <w:spacing w:line="260" w:lineRule="exact"/>
        <w:rPr>
          <w:spacing w:val="-2"/>
        </w:rPr>
      </w:pPr>
      <w:r w:rsidRPr="0084342B">
        <w:rPr>
          <w:spacing w:val="-2"/>
        </w:rPr>
        <w:t xml:space="preserve">The geographic scope for the population and employment cumulative analysis is the treatable landscape and surrounding areas. As described in Impact LU-2, implementation of CalVTP would increase employment demand that would be </w:t>
      </w:r>
      <w:r w:rsidR="00F82419" w:rsidRPr="0084342B">
        <w:rPr>
          <w:spacing w:val="-2"/>
        </w:rPr>
        <w:t>dispersed within</w:t>
      </w:r>
      <w:r w:rsidRPr="0084342B">
        <w:rPr>
          <w:spacing w:val="-2"/>
        </w:rPr>
        <w:t xml:space="preserve"> the state but the increase in employment demand would not induce substantial unplanned population growth in any one area to cause a need for new housing, roads, or infrastructure. Some of the projects, programs, and regulatory requirements described in Section 4.</w:t>
      </w:r>
      <w:r w:rsidR="007C75FD" w:rsidRPr="0084342B">
        <w:rPr>
          <w:spacing w:val="-2"/>
        </w:rPr>
        <w:t>3</w:t>
      </w:r>
      <w:r w:rsidRPr="0084342B">
        <w:rPr>
          <w:spacing w:val="-2"/>
        </w:rPr>
        <w:t xml:space="preserve">, </w:t>
      </w:r>
      <w:r w:rsidR="00CC081D" w:rsidRPr="0084342B">
        <w:rPr>
          <w:spacing w:val="-2"/>
        </w:rPr>
        <w:t>“</w:t>
      </w:r>
      <w:r w:rsidRPr="0084342B">
        <w:rPr>
          <w:spacing w:val="-2"/>
        </w:rPr>
        <w:t>Related Projects and Plans,</w:t>
      </w:r>
      <w:r w:rsidR="00CC081D" w:rsidRPr="0084342B">
        <w:rPr>
          <w:spacing w:val="-2"/>
        </w:rPr>
        <w:t>”</w:t>
      </w:r>
      <w:r w:rsidRPr="0084342B">
        <w:rPr>
          <w:spacing w:val="-2"/>
        </w:rPr>
        <w:t xml:space="preserve"> would result in demand for employees with similar types of skills as those needed for implementation of CalVTP, including the </w:t>
      </w:r>
      <w:r w:rsidR="00A61F2D" w:rsidRPr="0084342B">
        <w:rPr>
          <w:spacing w:val="-2"/>
        </w:rPr>
        <w:t>CFIP</w:t>
      </w:r>
      <w:r w:rsidRPr="0084342B">
        <w:rPr>
          <w:spacing w:val="-2"/>
        </w:rPr>
        <w:t xml:space="preserve">, compliance with PRC Section 4291 for defensible space around structures, vegetation and fuels treatment programs implemented outside the SRA, EO B-42-17 that addresses tree mortality, </w:t>
      </w:r>
      <w:r w:rsidRPr="0084342B">
        <w:rPr>
          <w:i/>
          <w:spacing w:val="-2"/>
        </w:rPr>
        <w:t>California 2030 Natural and Working Lands Climate Change Implementation Plan</w:t>
      </w:r>
      <w:r w:rsidRPr="0084342B">
        <w:rPr>
          <w:spacing w:val="-2"/>
        </w:rPr>
        <w:t xml:space="preserve">, and </w:t>
      </w:r>
      <w:r w:rsidRPr="0084342B">
        <w:rPr>
          <w:i/>
          <w:spacing w:val="-2"/>
        </w:rPr>
        <w:t>California Forest Carbon Plan</w:t>
      </w:r>
      <w:r w:rsidRPr="0084342B">
        <w:rPr>
          <w:spacing w:val="-2"/>
        </w:rPr>
        <w:t xml:space="preserve">. Vegetation and fuels treatments under some of these programs could overlap with those implemented with CalVTP, including EO B-42-17, </w:t>
      </w:r>
      <w:r w:rsidRPr="0084342B">
        <w:rPr>
          <w:i/>
          <w:spacing w:val="-2"/>
        </w:rPr>
        <w:t>California 2030 Natural and Working Lands Climate Change Implementation Plan</w:t>
      </w:r>
      <w:r w:rsidRPr="0084342B">
        <w:rPr>
          <w:spacing w:val="-2"/>
        </w:rPr>
        <w:t xml:space="preserve">, and </w:t>
      </w:r>
      <w:r w:rsidRPr="0084342B">
        <w:rPr>
          <w:i/>
          <w:spacing w:val="-2"/>
        </w:rPr>
        <w:t>California Forest Carbon Plan</w:t>
      </w:r>
      <w:r w:rsidRPr="0084342B">
        <w:rPr>
          <w:spacing w:val="-2"/>
        </w:rPr>
        <w:t xml:space="preserve">, and thus, employment demand associated with these plans would overlap with those of CalVTP. Because timber harvesting is anticipated to continue at generally the existing rate and there would not likely be an expansion of CAL FIRE Demonstration State Forests, these activities would not be anticipated to generate substantial employment demand, if any. The </w:t>
      </w:r>
      <w:r w:rsidR="00F275C4" w:rsidRPr="0084342B">
        <w:rPr>
          <w:spacing w:val="-2"/>
        </w:rPr>
        <w:t>CFIP</w:t>
      </w:r>
      <w:r w:rsidRPr="0084342B">
        <w:rPr>
          <w:spacing w:val="-2"/>
        </w:rPr>
        <w:t xml:space="preserve">, compliance with PRC Section 4291 for defensible space around structures, and, in particular, vegetation and fuels treatment programs implemented outside the SRA would help achieve the goal of implementing vegetation treatments on 500,000 acres per year in California expressed in EO B-52-18 by implementing vegetation treatments on 250,000 acres per year in addition to the CalVTP goal of treating 250,000 acres per year. The cumulative projects that contribute to implementation of vegetation treatment goals identified in EO B-52-18 could result in an increase in employment demand at a similar scale and with some overlapping geographic distribution as that described for CalVTP under Impact LU-2. </w:t>
      </w:r>
    </w:p>
    <w:p w14:paraId="5666FBFB" w14:textId="28E66C0D" w:rsidR="00E85DE0" w:rsidRDefault="00E85DE0" w:rsidP="0084342B">
      <w:pPr>
        <w:pStyle w:val="BodyText"/>
        <w:spacing w:line="260" w:lineRule="exact"/>
      </w:pPr>
      <w:r>
        <w:t xml:space="preserve">As described in Section 3.12.2, </w:t>
      </w:r>
      <w:r w:rsidR="00CC081D">
        <w:t>“</w:t>
      </w:r>
      <w:r>
        <w:t>Regulatory Setting,</w:t>
      </w:r>
      <w:r w:rsidR="00CC081D">
        <w:t>”</w:t>
      </w:r>
      <w:r>
        <w:t xml:space="preserve"> the California Department of Housing and Community Development develops regional housing needs assessments for each county, Councils of Government (COGs) </w:t>
      </w:r>
      <w:r>
        <w:lastRenderedPageBreak/>
        <w:t>allocate funding for housing to each jurisdiction within their region, and cities and counties prepare general plan housing elements to plan for projected housing needs. As a result of these activities, cities, counties, COGs, and the state regularly engage in long-term planning to address future population growth and housing demand and there is not an existing significant cumulative impact related to unplanned substantial population growth.</w:t>
      </w:r>
    </w:p>
    <w:p w14:paraId="2C87A690" w14:textId="3A190A38" w:rsidR="00ED0285" w:rsidRPr="00ED0285" w:rsidRDefault="00E85DE0" w:rsidP="0084342B">
      <w:pPr>
        <w:pStyle w:val="BodyText"/>
        <w:spacing w:line="260" w:lineRule="exact"/>
      </w:pPr>
      <w:r>
        <w:t xml:space="preserve">The combination of employment demand for CalVTP and these cumulative projects would not be a cumulative substantial increase that would exceed planned population growth throughout the state or result in cumulative growth in some areas that would result in the need for new housing, roads, or infrastructure. For these reasons, </w:t>
      </w:r>
      <w:r w:rsidR="00AA7F17">
        <w:t xml:space="preserve">the </w:t>
      </w:r>
      <w:r>
        <w:t>CalVTP</w:t>
      </w:r>
      <w:r w:rsidR="00CC081D">
        <w:t>’</w:t>
      </w:r>
      <w:r w:rsidR="00AA7F17">
        <w:t>s contribution</w:t>
      </w:r>
      <w:r>
        <w:t xml:space="preserve"> </w:t>
      </w:r>
      <w:r w:rsidR="00AA7F17">
        <w:t>to inducement of substantial population growth</w:t>
      </w:r>
      <w:r w:rsidR="00AA7F17" w:rsidRPr="009B1C54">
        <w:rPr>
          <w:b/>
        </w:rPr>
        <w:t xml:space="preserve"> </w:t>
      </w:r>
      <w:r w:rsidRPr="009B1C54">
        <w:rPr>
          <w:b/>
        </w:rPr>
        <w:t xml:space="preserve">would </w:t>
      </w:r>
      <w:r w:rsidR="00AA7F17">
        <w:rPr>
          <w:b/>
        </w:rPr>
        <w:t>not be</w:t>
      </w:r>
      <w:r w:rsidRPr="009B1C54">
        <w:rPr>
          <w:b/>
        </w:rPr>
        <w:t xml:space="preserve"> </w:t>
      </w:r>
      <w:r w:rsidR="00AA7F17">
        <w:rPr>
          <w:b/>
        </w:rPr>
        <w:t xml:space="preserve">cumulatively </w:t>
      </w:r>
      <w:r w:rsidRPr="009B1C54">
        <w:rPr>
          <w:b/>
        </w:rPr>
        <w:t>considerable</w:t>
      </w:r>
      <w:r>
        <w:t>.</w:t>
      </w:r>
    </w:p>
    <w:p w14:paraId="38E519BF" w14:textId="6E230DD5" w:rsidR="00ED0285" w:rsidRDefault="00ED0285" w:rsidP="00ED0285">
      <w:pPr>
        <w:pStyle w:val="Heading3"/>
      </w:pPr>
      <w:r w:rsidRPr="007C2DEB">
        <w:t>Noise</w:t>
      </w:r>
    </w:p>
    <w:p w14:paraId="2F92E285" w14:textId="37D240C2" w:rsidR="00596DFE" w:rsidRDefault="00596DFE" w:rsidP="00233036">
      <w:pPr>
        <w:pStyle w:val="BodyText"/>
      </w:pPr>
      <w:r>
        <w:t xml:space="preserve">The geographic scope of the cumulative noise analysis covers the entirety of the treatable landscape. </w:t>
      </w:r>
      <w:r w:rsidR="009B1C54">
        <w:t xml:space="preserve">The </w:t>
      </w:r>
      <w:r w:rsidRPr="00FA204F">
        <w:t xml:space="preserve">CalVTP would not </w:t>
      </w:r>
      <w:r>
        <w:t>create a long term (</w:t>
      </w:r>
      <w:r w:rsidRPr="00FA204F">
        <w:t>operational</w:t>
      </w:r>
      <w:r>
        <w:t>) source of</w:t>
      </w:r>
      <w:r w:rsidRPr="00FA204F">
        <w:t xml:space="preserve"> vehicular trips or result in the operation of any permanent stationary </w:t>
      </w:r>
      <w:r>
        <w:t xml:space="preserve">noise-generating </w:t>
      </w:r>
      <w:r w:rsidRPr="00FA204F">
        <w:t>equipment; and thus, is not expected to result in any permanent</w:t>
      </w:r>
      <w:r>
        <w:t xml:space="preserve"> increase in ambient noise levels.</w:t>
      </w:r>
      <w:r w:rsidRPr="00FA204F">
        <w:t xml:space="preserve"> </w:t>
      </w:r>
      <w:r w:rsidRPr="007C01A7">
        <w:t xml:space="preserve">Therefore, cumulative noise impacts would be limited to short-term </w:t>
      </w:r>
      <w:r>
        <w:t>ambient noise increases during implementation of</w:t>
      </w:r>
      <w:r w:rsidRPr="007C01A7">
        <w:t xml:space="preserve"> vegetation treatment </w:t>
      </w:r>
      <w:r w:rsidRPr="00544AD4">
        <w:t xml:space="preserve">activities. </w:t>
      </w:r>
    </w:p>
    <w:p w14:paraId="3108D92A" w14:textId="16C46038" w:rsidR="00596DFE" w:rsidRDefault="00596DFE" w:rsidP="00233036">
      <w:pPr>
        <w:pStyle w:val="BodyText"/>
      </w:pPr>
      <w:r>
        <w:t>As discussed in Section 4.</w:t>
      </w:r>
      <w:r w:rsidR="007C75FD">
        <w:t>3</w:t>
      </w:r>
      <w:r>
        <w:t xml:space="preserve">, </w:t>
      </w:r>
      <w:r w:rsidR="00CC081D">
        <w:t>“</w:t>
      </w:r>
      <w:r>
        <w:t>Related Project and Plans,</w:t>
      </w:r>
      <w:r w:rsidR="00CC081D">
        <w:t>”</w:t>
      </w:r>
      <w:r>
        <w:t xml:space="preserve"> above, there are several similar </w:t>
      </w:r>
      <w:proofErr w:type="gramStart"/>
      <w:r>
        <w:t>past</w:t>
      </w:r>
      <w:proofErr w:type="gramEnd"/>
      <w:r>
        <w:t xml:space="preserve">, present, and reasonably foreseeable projects that have affected and likely will affect vegetation, and noise exposure, within and surrounding the treatable landscape. </w:t>
      </w:r>
      <w:r w:rsidRPr="00544AD4">
        <w:t>For</w:t>
      </w:r>
      <w:r w:rsidRPr="00FA204F">
        <w:t xml:space="preserve"> a cumulative effect to occur</w:t>
      </w:r>
      <w:r w:rsidR="009B1C54">
        <w:t>,</w:t>
      </w:r>
      <w:r w:rsidRPr="00FA204F" w:rsidDel="00832214">
        <w:t xml:space="preserve"> </w:t>
      </w:r>
      <w:r w:rsidRPr="00FA204F">
        <w:t xml:space="preserve">vegetation treatment activities </w:t>
      </w:r>
      <w:r>
        <w:t xml:space="preserve">under the CalVTP </w:t>
      </w:r>
      <w:r w:rsidRPr="00FA204F">
        <w:t xml:space="preserve">would have to occur simultaneously </w:t>
      </w:r>
      <w:r>
        <w:t xml:space="preserve">with </w:t>
      </w:r>
      <w:r w:rsidRPr="00FA204F">
        <w:t>and near</w:t>
      </w:r>
      <w:r>
        <w:t xml:space="preserve"> other noise sources, such as other vegetation treatment and management activities, timber harvesting, implementation of plans and policies related to forest health, regional habitat conservation, </w:t>
      </w:r>
      <w:r w:rsidR="009B1C54">
        <w:t>s</w:t>
      </w:r>
      <w:r>
        <w:t>tate land management practices, and construction projects related to development</w:t>
      </w:r>
      <w:r w:rsidRPr="00FA204F">
        <w:t>.</w:t>
      </w:r>
      <w:r>
        <w:t xml:space="preserve"> I</w:t>
      </w:r>
      <w:r w:rsidRPr="00A86370">
        <w:t>t is not anticipated that</w:t>
      </w:r>
      <w:r>
        <w:t xml:space="preserve"> temporary</w:t>
      </w:r>
      <w:r w:rsidRPr="00A86370">
        <w:t xml:space="preserve"> noise generated by </w:t>
      </w:r>
      <w:r>
        <w:t>vegetation treatment activities under the CalVTP</w:t>
      </w:r>
      <w:r w:rsidRPr="00A86370">
        <w:t xml:space="preserve"> and noise related to non-CalVTP projects would simultaneously impact the same noise-sensitive receptors</w:t>
      </w:r>
      <w:r>
        <w:t xml:space="preserve"> because the size of the treatable landscape and duration of vegetation treatment activities would make it highly unlikely that two such projects would occur simultaneously and in close vicinity to one another</w:t>
      </w:r>
      <w:r w:rsidRPr="00A86370">
        <w:t xml:space="preserve">. </w:t>
      </w:r>
      <w:r w:rsidRPr="008D7EC3">
        <w:t>Moreover, SPR NOI-1 would restrict vegetation treatment activities to less sensitive daytime hours in accordance with local requirements. Cities and</w:t>
      </w:r>
      <w:r w:rsidRPr="00035F6D">
        <w:t xml:space="preserve"> counties in California typically restrict construction-noise to particular daytime hours</w:t>
      </w:r>
      <w:r>
        <w:t xml:space="preserve"> and i</w:t>
      </w:r>
      <w:r w:rsidRPr="00035F6D">
        <w:t>f the local, applicable jurisdiction does not have a noise ordinance or policy restricting the time-of-day when noise-generating construction activity can occur, then</w:t>
      </w:r>
      <w:r>
        <w:t xml:space="preserve"> SPR NOI-1 would limit</w:t>
      </w:r>
      <w:r w:rsidRPr="00035F6D">
        <w:t xml:space="preserve"> </w:t>
      </w:r>
      <w:r w:rsidR="00851013">
        <w:t>heavy equipment use</w:t>
      </w:r>
      <w:r w:rsidRPr="00035F6D">
        <w:t xml:space="preserve"> to the hours of </w:t>
      </w:r>
      <w:r>
        <w:t>7</w:t>
      </w:r>
      <w:r w:rsidRPr="00035F6D">
        <w:t xml:space="preserve">:00 a.m. to </w:t>
      </w:r>
      <w:r>
        <w:t>6</w:t>
      </w:r>
      <w:r w:rsidRPr="00035F6D">
        <w:t>:00 p.m</w:t>
      </w:r>
      <w:r w:rsidRPr="007C5406">
        <w:rPr>
          <w:rFonts w:eastAsia="Times New Roman"/>
        </w:rPr>
        <w:t>., Monday through Saturday, and between 9:00 a.m. and 6:00 p.m. on Sunday and federal holidays</w:t>
      </w:r>
      <w:r w:rsidRPr="006E012E">
        <w:t>.</w:t>
      </w:r>
      <w:r>
        <w:t xml:space="preserve"> Additionally, many jurisdictions in California provide noise exemptions for construction activities that occur during specifically defined daytime </w:t>
      </w:r>
      <w:r w:rsidRPr="0025508D">
        <w:t>hours.</w:t>
      </w:r>
      <w:r>
        <w:t xml:space="preserve"> However, because t</w:t>
      </w:r>
      <w:r w:rsidRPr="007A2308">
        <w:t>he other past, present, and planned future projects identified in Section 4.</w:t>
      </w:r>
      <w:r w:rsidR="007C75FD">
        <w:t>3</w:t>
      </w:r>
      <w:r w:rsidRPr="007A2308">
        <w:t xml:space="preserve">, </w:t>
      </w:r>
      <w:r w:rsidR="00CC081D">
        <w:t>“</w:t>
      </w:r>
      <w:r w:rsidRPr="007A2308">
        <w:t>Related Projects and Plans,</w:t>
      </w:r>
      <w:r w:rsidR="00CC081D">
        <w:t>”</w:t>
      </w:r>
      <w:r w:rsidRPr="007A2308">
        <w:t xml:space="preserve"> </w:t>
      </w:r>
      <w:r>
        <w:t xml:space="preserve">are not subject to the SPRs of CalVTP, they could on their own result in a </w:t>
      </w:r>
      <w:r w:rsidRPr="0025508D">
        <w:t>significant cumulative impact related to temporary short-term noise</w:t>
      </w:r>
      <w:r>
        <w:t xml:space="preserve">. Therefore, </w:t>
      </w:r>
      <w:r w:rsidRPr="007A2308">
        <w:t>other past, present, and planned future projects identified in Section 4.</w:t>
      </w:r>
      <w:r w:rsidR="007C75FD">
        <w:t>3</w:t>
      </w:r>
      <w:r w:rsidRPr="007A2308">
        <w:t xml:space="preserve">, </w:t>
      </w:r>
      <w:r w:rsidR="00CC081D">
        <w:t>“</w:t>
      </w:r>
      <w:r w:rsidRPr="007A2308">
        <w:t>Related Projects and Plans,</w:t>
      </w:r>
      <w:r w:rsidR="00CC081D">
        <w:t>”</w:t>
      </w:r>
      <w:r w:rsidRPr="007A2308">
        <w:t xml:space="preserve"> combined with the proposed CalVTP activities </w:t>
      </w:r>
      <w:r>
        <w:t>could result in a significant cumulative</w:t>
      </w:r>
      <w:r w:rsidR="003A227D" w:rsidRPr="000A4E0E">
        <w:rPr>
          <w:u w:val="single"/>
        </w:rPr>
        <w:t xml:space="preserve"> impact</w:t>
      </w:r>
      <w:r w:rsidRPr="006215C0">
        <w:t xml:space="preserve"> </w:t>
      </w:r>
      <w:r w:rsidRPr="0025508D">
        <w:t>related to temporary short-term noise</w:t>
      </w:r>
      <w:r>
        <w:t>.</w:t>
      </w:r>
    </w:p>
    <w:p w14:paraId="049CA806" w14:textId="57654724" w:rsidR="00ED0285" w:rsidRPr="00ED0285" w:rsidRDefault="00596DFE" w:rsidP="00233036">
      <w:pPr>
        <w:pStyle w:val="BodyText"/>
      </w:pPr>
      <w:r w:rsidRPr="00A86370">
        <w:t xml:space="preserve">As discussed in Section 3.13, </w:t>
      </w:r>
      <w:r w:rsidR="00CC081D">
        <w:t>“</w:t>
      </w:r>
      <w:r w:rsidRPr="00832214">
        <w:t>Noise</w:t>
      </w:r>
      <w:r w:rsidR="00CC081D">
        <w:t>,”</w:t>
      </w:r>
      <w:r w:rsidRPr="00A86370">
        <w:t xml:space="preserve"> </w:t>
      </w:r>
      <w:r>
        <w:t>qualifying treatment projects</w:t>
      </w:r>
      <w:r w:rsidRPr="00A86370">
        <w:t xml:space="preserve"> </w:t>
      </w:r>
      <w:r>
        <w:t xml:space="preserve">under the CalVTP </w:t>
      </w:r>
      <w:r w:rsidRPr="00A86370">
        <w:t xml:space="preserve">would </w:t>
      </w:r>
      <w:r>
        <w:t>integrate</w:t>
      </w:r>
      <w:r w:rsidRPr="00A86370">
        <w:t xml:space="preserve"> several SPRs </w:t>
      </w:r>
      <w:r>
        <w:t xml:space="preserve">into treatment design to avoid and minimize noise impacts. These include complying with local </w:t>
      </w:r>
      <w:r w:rsidRPr="00D6194B">
        <w:t>policies</w:t>
      </w:r>
      <w:r>
        <w:t xml:space="preserve"> and ordinances related to noise to the extent the project is subject to them</w:t>
      </w:r>
      <w:r w:rsidR="00583A2E">
        <w:t xml:space="preserve"> (SPR AD-3)</w:t>
      </w:r>
      <w:r>
        <w:t xml:space="preserve">, </w:t>
      </w:r>
      <w:r w:rsidRPr="00754BD5">
        <w:t xml:space="preserve">proper notification </w:t>
      </w:r>
      <w:r w:rsidR="00583A2E">
        <w:t>of</w:t>
      </w:r>
      <w:r w:rsidR="00583A2E" w:rsidRPr="00754BD5">
        <w:t xml:space="preserve"> </w:t>
      </w:r>
      <w:r w:rsidRPr="00754BD5">
        <w:t>any potential nearby sensitive receptors</w:t>
      </w:r>
      <w:r w:rsidR="00583A2E">
        <w:t xml:space="preserve"> (SPR NOI-6)</w:t>
      </w:r>
      <w:r>
        <w:t xml:space="preserve">, and locating </w:t>
      </w:r>
      <w:r w:rsidRPr="00754BD5">
        <w:t>construction activities and staging areas as far as possible from sensitive receptors</w:t>
      </w:r>
      <w:r w:rsidR="00583A2E">
        <w:t xml:space="preserve"> (SPR NOI-4)</w:t>
      </w:r>
      <w:r>
        <w:t>. With implementation of SPRs</w:t>
      </w:r>
      <w:r w:rsidRPr="00A86370">
        <w:t xml:space="preserve">, </w:t>
      </w:r>
      <w:r>
        <w:t>exposure to and generation of noise during vegetation treatment would be avoided or minimized and any temporary increase above ambient conditions would not be considered substantial</w:t>
      </w:r>
      <w:r w:rsidR="00583A2E">
        <w:t>. Therefore,</w:t>
      </w:r>
      <w:r>
        <w:t xml:space="preserve"> the CalVTP</w:t>
      </w:r>
      <w:r w:rsidR="00CC081D">
        <w:t>’</w:t>
      </w:r>
      <w:r>
        <w:t xml:space="preserve">s contribution </w:t>
      </w:r>
      <w:r w:rsidRPr="0025508D">
        <w:t>to any significant cumulative impact related to temporary short-term noise</w:t>
      </w:r>
      <w:r>
        <w:t xml:space="preserve"> </w:t>
      </w:r>
      <w:r w:rsidRPr="00583A2E">
        <w:rPr>
          <w:b/>
        </w:rPr>
        <w:t>would not be cumulatively considerable</w:t>
      </w:r>
      <w:r w:rsidRPr="0025508D">
        <w:t>.</w:t>
      </w:r>
    </w:p>
    <w:p w14:paraId="481982FD" w14:textId="17B4C098" w:rsidR="00ED0285" w:rsidRDefault="00ED0285" w:rsidP="00ED0285">
      <w:pPr>
        <w:pStyle w:val="Heading3"/>
      </w:pPr>
      <w:r w:rsidRPr="007C2DEB">
        <w:lastRenderedPageBreak/>
        <w:t>Recreation</w:t>
      </w:r>
    </w:p>
    <w:p w14:paraId="5B5AA3E9" w14:textId="23CE89AF" w:rsidR="000C3008" w:rsidRPr="008B7187" w:rsidRDefault="000C3008" w:rsidP="00233036">
      <w:pPr>
        <w:pStyle w:val="BodyText"/>
      </w:pPr>
      <w:r>
        <w:t xml:space="preserve">The geographic scope of the cumulative impact analysis for recreation encompasses the public recreational areas within the treatable landscape. As discussed in Section 3.12, </w:t>
      </w:r>
      <w:r w:rsidR="00CC081D">
        <w:t>“</w:t>
      </w:r>
      <w:r>
        <w:t>Land Use and Planning, Population and Housing,</w:t>
      </w:r>
      <w:r w:rsidR="00CC081D">
        <w:t>”</w:t>
      </w:r>
      <w:r>
        <w:t xml:space="preserve"> the population of California as a whole and of counties within the treatable landscape is projected to increase during the period in which CalVTP would be implemented</w:t>
      </w:r>
      <w:r w:rsidRPr="008B7187">
        <w:t>. Planned population growth</w:t>
      </w:r>
      <w:r>
        <w:t>,</w:t>
      </w:r>
      <w:r w:rsidRPr="008B7187">
        <w:t xml:space="preserve"> and local regulation of associated development </w:t>
      </w:r>
      <w:r>
        <w:t xml:space="preserve">within the jurisdictional boundaries of incorporated cities and unincorporated areas </w:t>
      </w:r>
      <w:r w:rsidRPr="008B7187">
        <w:t>prevent the occurrence of an existing cumulative recreation impact</w:t>
      </w:r>
      <w:r>
        <w:t xml:space="preserve"> by implementing adopted General Plans that include a policy framework which guides development, designates appropriate areas for development, and guides the preservation of public open space consistent with Government Code Section 65560</w:t>
      </w:r>
      <w:r w:rsidRPr="008B7187">
        <w:t xml:space="preserve">. </w:t>
      </w:r>
    </w:p>
    <w:p w14:paraId="3F4F0AFE" w14:textId="7DFAFE5C" w:rsidR="000C3008" w:rsidRDefault="000C3008" w:rsidP="00233036">
      <w:pPr>
        <w:pStyle w:val="BodyText"/>
      </w:pPr>
      <w:r w:rsidRPr="00AF3D19">
        <w:t>Implementation of the CalVTP would treat</w:t>
      </w:r>
      <w:r>
        <w:t xml:space="preserve"> vegetation </w:t>
      </w:r>
      <w:r w:rsidR="00DF0C48">
        <w:t>within</w:t>
      </w:r>
      <w:r>
        <w:t xml:space="preserve"> the treatable landscape and </w:t>
      </w:r>
      <w:r w:rsidRPr="00AF3D19">
        <w:t>would not involve the development of residential communities or similar types of development or induce substantial population growth in an area that would require the construction of or expansion of recreational facilities.</w:t>
      </w:r>
      <w:r>
        <w:t xml:space="preserve"> However, depending on the location of the treatment area, proposed treatment activities may temporarily restrict public access to surrounding areas for safety reasons or cause nuisance impacts related to dust, aesthetics</w:t>
      </w:r>
      <w:r w:rsidR="00DF0C48">
        <w:t>,</w:t>
      </w:r>
      <w:r>
        <w:t xml:space="preserve"> and traffic; this would disrupt the recreation experience. As discussed in Impact REC-1, implementation of SPRs would minimize disruptions to recreational users by storing equipment outside of </w:t>
      </w:r>
      <w:r w:rsidR="00A402FF">
        <w:t>public</w:t>
      </w:r>
      <w:r>
        <w:t xml:space="preserve"> viewshed</w:t>
      </w:r>
      <w:r w:rsidR="00A402FF">
        <w:t>s, whenever possible</w:t>
      </w:r>
      <w:r w:rsidR="00DF0C48">
        <w:t xml:space="preserve"> (SPR AES-2)</w:t>
      </w:r>
      <w:r>
        <w:t>, minimizing smoke dispersion</w:t>
      </w:r>
      <w:r w:rsidR="00DF0C48">
        <w:t xml:space="preserve"> (SPR AQ-6)</w:t>
      </w:r>
      <w:r>
        <w:t xml:space="preserve">, suspending ground </w:t>
      </w:r>
      <w:r w:rsidRPr="00E64D9F">
        <w:t>disturbing treatment activities when there is visible dust</w:t>
      </w:r>
      <w:r w:rsidR="00DF0C48">
        <w:t xml:space="preserve"> (SPR AQ-4)</w:t>
      </w:r>
      <w:r w:rsidRPr="00E64D9F">
        <w:t xml:space="preserve">, </w:t>
      </w:r>
      <w:r>
        <w:t>notifying users of temporary closures</w:t>
      </w:r>
      <w:r w:rsidR="00851013">
        <w:t xml:space="preserve"> of public recreation areas</w:t>
      </w:r>
      <w:r w:rsidR="00DF0C48">
        <w:t xml:space="preserve"> (SPR REC-1)</w:t>
      </w:r>
      <w:r>
        <w:t xml:space="preserve">, </w:t>
      </w:r>
      <w:r w:rsidRPr="00BA6372">
        <w:t>and minimizing the ingress/egress of heavy equipment along public roadways</w:t>
      </w:r>
      <w:r w:rsidR="00DF0C48">
        <w:t xml:space="preserve"> (SPR TRAN-1)</w:t>
      </w:r>
      <w:r w:rsidRPr="00BA6372">
        <w:t>. Therefore, CalVTP</w:t>
      </w:r>
      <w:r w:rsidR="00CC081D">
        <w:t>’</w:t>
      </w:r>
      <w:r>
        <w:t xml:space="preserve">s contribution to disruption of recreational resources </w:t>
      </w:r>
      <w:r w:rsidRPr="00DF0C48">
        <w:rPr>
          <w:b/>
        </w:rPr>
        <w:t>would not be cumulatively considerable</w:t>
      </w:r>
      <w:r>
        <w:t xml:space="preserve">. </w:t>
      </w:r>
    </w:p>
    <w:p w14:paraId="15C2FA88" w14:textId="1E650427" w:rsidR="00ED0285" w:rsidRDefault="00ED0285" w:rsidP="00ED0285">
      <w:pPr>
        <w:pStyle w:val="Heading3"/>
      </w:pPr>
      <w:r w:rsidRPr="007C2DEB">
        <w:t>Transportation</w:t>
      </w:r>
    </w:p>
    <w:p w14:paraId="47BB5865" w14:textId="2873A9B8" w:rsidR="001F74C7" w:rsidRDefault="001F74C7" w:rsidP="00233036">
      <w:pPr>
        <w:pStyle w:val="BodyText"/>
      </w:pPr>
      <w:r>
        <w:t xml:space="preserve">The geographic scope of the cumulative transportation analysis covers the entirety of the treatable landscape and the surrounding roadway network used to access individual vegetation treatment sites. </w:t>
      </w:r>
      <w:r w:rsidR="00B5318A">
        <w:t xml:space="preserve">The </w:t>
      </w:r>
      <w:r>
        <w:t>CalVTP would not result in the generation of operational vehicular trips to the same location over the long term, and thus, would not result in permanent traffic operations impacts on a roadway or highway. Therefore, cumulative transportation impacts would be associated with short-term transportation effects that would occur during the implementation of vegetation treatments.</w:t>
      </w:r>
    </w:p>
    <w:p w14:paraId="793AE338" w14:textId="20FCFB65" w:rsidR="001F74C7" w:rsidRDefault="001F74C7" w:rsidP="00233036">
      <w:pPr>
        <w:pStyle w:val="BodyText"/>
      </w:pPr>
      <w:r>
        <w:t>As discussed in Section 4.</w:t>
      </w:r>
      <w:r w:rsidR="007C75FD">
        <w:t>3</w:t>
      </w:r>
      <w:r>
        <w:t xml:space="preserve">, </w:t>
      </w:r>
      <w:r w:rsidR="00CC081D">
        <w:t>“</w:t>
      </w:r>
      <w:r>
        <w:t>Related Project and Plans,</w:t>
      </w:r>
      <w:r w:rsidR="00CC081D">
        <w:t>”</w:t>
      </w:r>
      <w:r>
        <w:t xml:space="preserve"> above, there are several similar </w:t>
      </w:r>
      <w:proofErr w:type="gramStart"/>
      <w:r>
        <w:t>past</w:t>
      </w:r>
      <w:proofErr w:type="gramEnd"/>
      <w:r>
        <w:t xml:space="preserve">, present, and reasonably foreseeable projects that have affected and likely will affect vegetation, and the transportation network, within and surrounding the treatable landscape. For a cumulative effect to occur, vegetation treatments under the CalVTP would have to take place simultaneously with and near other projects that could potentially result in transportation effects, such as other vegetation treatment and management activities, timber harvesting, implementation of plans and policies related to forest health, regional habitat conservation, State land management practices, and construction projects related to development. It is not anticipated that temporary traffic generated by treatment </w:t>
      </w:r>
      <w:r w:rsidR="00B5318A">
        <w:t xml:space="preserve">activities </w:t>
      </w:r>
      <w:r>
        <w:t xml:space="preserve">under the CalVTP and traffic related to non-CalVTP projects would simultaneously </w:t>
      </w:r>
      <w:r w:rsidR="00B5318A">
        <w:t xml:space="preserve">affect </w:t>
      </w:r>
      <w:r>
        <w:t xml:space="preserve">the same roadway facilities because the size of the treatable landscape and </w:t>
      </w:r>
      <w:r w:rsidR="00B5318A">
        <w:t xml:space="preserve">the </w:t>
      </w:r>
      <w:r>
        <w:t>duration of treatment</w:t>
      </w:r>
      <w:r w:rsidR="00B5318A">
        <w:t xml:space="preserve"> activities</w:t>
      </w:r>
      <w:r>
        <w:t xml:space="preserve"> would make it highly unlikely that two such projects would occur simultaneously and in </w:t>
      </w:r>
      <w:r w:rsidR="00B5318A">
        <w:t>proximity</w:t>
      </w:r>
      <w:r>
        <w:t xml:space="preserve"> to one another. </w:t>
      </w:r>
    </w:p>
    <w:p w14:paraId="632BD4F3" w14:textId="4C2A0D45" w:rsidR="001F74C7" w:rsidRDefault="001F74C7" w:rsidP="00233036">
      <w:pPr>
        <w:pStyle w:val="BodyText"/>
      </w:pPr>
      <w:r>
        <w:t xml:space="preserve">Moreover, </w:t>
      </w:r>
      <w:r w:rsidRPr="00BE7FF5">
        <w:t>SPR TRAN-1 requires project proponent</w:t>
      </w:r>
      <w:r w:rsidR="00B5318A">
        <w:t>s</w:t>
      </w:r>
      <w:r w:rsidRPr="00BE7FF5">
        <w:t xml:space="preserve"> to monitor prescribed burning operations and</w:t>
      </w:r>
      <w:r>
        <w:t xml:space="preserve"> the associated</w:t>
      </w:r>
      <w:r w:rsidRPr="00BE7FF5">
        <w:t xml:space="preserve"> smoke dispersion. </w:t>
      </w:r>
      <w:r>
        <w:t>During any such prescribed burns, t</w:t>
      </w:r>
      <w:r w:rsidRPr="00BE7FF5">
        <w:t>raffic control operations</w:t>
      </w:r>
      <w:r>
        <w:t xml:space="preserve"> would be implemented</w:t>
      </w:r>
      <w:r w:rsidRPr="00BE7FF5">
        <w:t xml:space="preserve"> in the event burning </w:t>
      </w:r>
      <w:r>
        <w:t>activities</w:t>
      </w:r>
      <w:r w:rsidRPr="00BE7FF5">
        <w:t xml:space="preserve"> </w:t>
      </w:r>
      <w:r>
        <w:t>beg</w:t>
      </w:r>
      <w:r w:rsidR="00A402FF">
        <w:t>i</w:t>
      </w:r>
      <w:r>
        <w:t>n</w:t>
      </w:r>
      <w:r w:rsidRPr="00BE7FF5">
        <w:t xml:space="preserve"> </w:t>
      </w:r>
      <w:r>
        <w:t xml:space="preserve">to </w:t>
      </w:r>
      <w:r w:rsidRPr="00BE7FF5">
        <w:t>affect traffic safety along any roadways.</w:t>
      </w:r>
      <w:r>
        <w:t xml:space="preserve"> </w:t>
      </w:r>
      <w:r w:rsidRPr="00FF7AB9">
        <w:t>SPR TRAN-</w:t>
      </w:r>
      <w:r>
        <w:t xml:space="preserve">1 also requires that </w:t>
      </w:r>
      <w:r w:rsidR="00A402FF">
        <w:t>the project proponent work with the agency(</w:t>
      </w:r>
      <w:proofErr w:type="spellStart"/>
      <w:r w:rsidR="00A402FF">
        <w:t>ies</w:t>
      </w:r>
      <w:proofErr w:type="spellEnd"/>
      <w:r w:rsidR="00A402FF">
        <w:t>) with jurisdiction over affected roadways to prepare</w:t>
      </w:r>
      <w:r>
        <w:t xml:space="preserve"> a </w:t>
      </w:r>
      <w:r w:rsidR="00B5318A">
        <w:t>Traffic Management Plan (</w:t>
      </w:r>
      <w:r>
        <w:t>TMP</w:t>
      </w:r>
      <w:r w:rsidR="00B5318A">
        <w:t>)</w:t>
      </w:r>
      <w:r>
        <w:t xml:space="preserve"> prior to initiating treatment activities if</w:t>
      </w:r>
      <w:r w:rsidRPr="0092531C">
        <w:t xml:space="preserve"> </w:t>
      </w:r>
      <w:r>
        <w:t>traffic generated would result in obstructions, hazards, or delays exceeding applicable jurisdictional standards along access routes for individual treatment</w:t>
      </w:r>
      <w:r w:rsidR="00B5318A">
        <w:t xml:space="preserve"> activities</w:t>
      </w:r>
      <w:r>
        <w:t xml:space="preserve">. The TMP will </w:t>
      </w:r>
      <w:r w:rsidR="00B5318A">
        <w:t>require</w:t>
      </w:r>
      <w:r>
        <w:t xml:space="preserve"> implementation of measures to avoid and minimize traffic obstructions, prolonged roadway closures, and the degradation of traffic operations (i.e., </w:t>
      </w:r>
      <w:r w:rsidR="00B5318A">
        <w:t>level of service</w:t>
      </w:r>
      <w:r>
        <w:t>) along affected roadway facilities, as needed. However, because the other past, present, and planned future projects identified in Section 4.</w:t>
      </w:r>
      <w:r w:rsidR="007C75FD">
        <w:t>3</w:t>
      </w:r>
      <w:r>
        <w:t xml:space="preserve">, </w:t>
      </w:r>
      <w:r w:rsidR="00CC081D">
        <w:t>“</w:t>
      </w:r>
      <w:r>
        <w:t>Related Projects and Plans,</w:t>
      </w:r>
      <w:r w:rsidR="00CC081D">
        <w:t>”</w:t>
      </w:r>
      <w:r>
        <w:t xml:space="preserve"> are not subject to the SPRs of the CalVTP, they could on their own result in a significant cumulative impact related to </w:t>
      </w:r>
      <w:r>
        <w:lastRenderedPageBreak/>
        <w:t>temporary traffic operations and transportation hazards. Therefore, other past, present, and planned future projects identified in Section 4.</w:t>
      </w:r>
      <w:r w:rsidR="007C75FD">
        <w:t>3</w:t>
      </w:r>
      <w:r>
        <w:t xml:space="preserve">, </w:t>
      </w:r>
      <w:r w:rsidR="00CC081D">
        <w:t>“</w:t>
      </w:r>
      <w:r>
        <w:t>Related Projects and Plans,</w:t>
      </w:r>
      <w:r w:rsidR="00CC081D">
        <w:t>”</w:t>
      </w:r>
      <w:r>
        <w:t xml:space="preserve"> combined with </w:t>
      </w:r>
      <w:r w:rsidR="00B5318A">
        <w:t xml:space="preserve">the </w:t>
      </w:r>
      <w:r>
        <w:t>CalVTP could result in significant cumulative related temporary traffic operations and transportation hazards.</w:t>
      </w:r>
    </w:p>
    <w:p w14:paraId="359CC34A" w14:textId="1A15E790" w:rsidR="001F74C7" w:rsidRDefault="001F74C7" w:rsidP="00233036">
      <w:pPr>
        <w:pStyle w:val="BodyText"/>
      </w:pPr>
      <w:r>
        <w:t xml:space="preserve">As discussed in Section 3.15, </w:t>
      </w:r>
      <w:r w:rsidR="00CC081D">
        <w:t>“</w:t>
      </w:r>
      <w:r>
        <w:t>Transportation</w:t>
      </w:r>
      <w:r w:rsidR="00CC081D">
        <w:t>,”</w:t>
      </w:r>
      <w:r>
        <w:t xml:space="preserve"> qualifying treatment </w:t>
      </w:r>
      <w:r w:rsidR="00B5318A">
        <w:t xml:space="preserve">activities </w:t>
      </w:r>
      <w:r>
        <w:t xml:space="preserve">under the CalVTP would integrate several SPRs into treatment design to avoid and minimize transportation impacts. These include complying with local policies and ordinances related to transportation to the extent the project is subject to them, and implementing TMPs to </w:t>
      </w:r>
      <w:r w:rsidRPr="00A57425">
        <w:t xml:space="preserve">promote </w:t>
      </w:r>
      <w:r>
        <w:t xml:space="preserve">safe and efficient </w:t>
      </w:r>
      <w:r w:rsidRPr="00A57425">
        <w:t xml:space="preserve">traffic movement during </w:t>
      </w:r>
      <w:r>
        <w:t xml:space="preserve">treatment activities. The SPR related to TMPs (i.e., SPR TRAN-1) would </w:t>
      </w:r>
      <w:r w:rsidR="00C5252C">
        <w:t>require</w:t>
      </w:r>
      <w:r w:rsidR="00462E92">
        <w:t xml:space="preserve"> </w:t>
      </w:r>
      <w:r>
        <w:t xml:space="preserve">that potential traffic operations and transportation hazards impacts would be avoided and/or minimized. Thus, with implementation of SPRs, temporary traffic operations and the potential for transportation hazards during treatment </w:t>
      </w:r>
      <w:r w:rsidR="00462E92">
        <w:t xml:space="preserve">activities </w:t>
      </w:r>
      <w:r>
        <w:t>would be minimized or avoided would not be considered substantial</w:t>
      </w:r>
      <w:r w:rsidR="00462E92">
        <w:t>. Therefore,</w:t>
      </w:r>
      <w:r>
        <w:t xml:space="preserve"> the CalVTP</w:t>
      </w:r>
      <w:r w:rsidR="00CC081D">
        <w:t>’</w:t>
      </w:r>
      <w:r>
        <w:t xml:space="preserve">s contribution to a significant cumulative impact related to temporary traffic operations or substantially increasing transportation hazards </w:t>
      </w:r>
      <w:r w:rsidRPr="00AC5EB8">
        <w:rPr>
          <w:b/>
        </w:rPr>
        <w:t>would not be cumulatively considerable</w:t>
      </w:r>
      <w:r>
        <w:t xml:space="preserve">. </w:t>
      </w:r>
    </w:p>
    <w:p w14:paraId="245D01D2" w14:textId="0E010AD3" w:rsidR="00ED0285" w:rsidRPr="00ED0285" w:rsidRDefault="001F74C7" w:rsidP="00233036">
      <w:pPr>
        <w:pStyle w:val="BodyText"/>
      </w:pPr>
      <w:r>
        <w:t>The analysis in Impact TRAN-3 address</w:t>
      </w:r>
      <w:r w:rsidR="00C5252C">
        <w:t>es</w:t>
      </w:r>
      <w:r>
        <w:t xml:space="preserve"> </w:t>
      </w:r>
      <w:r w:rsidR="009F3675">
        <w:t>vehicle miles travelled (</w:t>
      </w:r>
      <w:r>
        <w:t>VMT</w:t>
      </w:r>
      <w:r w:rsidR="009F3675">
        <w:t>)</w:t>
      </w:r>
      <w:r>
        <w:t xml:space="preserve"> annually from the whole of the CalVTP, and thus</w:t>
      </w:r>
      <w:r w:rsidR="00C5252C">
        <w:t xml:space="preserve"> is inherently cumulative and</w:t>
      </w:r>
      <w:r>
        <w:t xml:space="preserve"> reflects a cumulative significance determination. Implementation of the CalVTP could potentially result in a net increase in VMT and a significant cumulative</w:t>
      </w:r>
      <w:r w:rsidRPr="00C50750">
        <w:t xml:space="preserve"> </w:t>
      </w:r>
      <w:r>
        <w:t>impact related to VMT. Additionally, as stated under Impact TRAN-3, there is no additional feasible mitigation to address the potential increases in VMT generated under the CalVTP. Therefore, the CalVTP</w:t>
      </w:r>
      <w:r w:rsidR="00CC081D">
        <w:t>’</w:t>
      </w:r>
      <w:r>
        <w:t xml:space="preserve">s contribution to a significant cumulative impact related to VMT </w:t>
      </w:r>
      <w:r w:rsidRPr="00AC5EB8">
        <w:rPr>
          <w:b/>
        </w:rPr>
        <w:t>would be cumulatively considerable</w:t>
      </w:r>
      <w:r>
        <w:t xml:space="preserve">, in spite of the recognition that </w:t>
      </w:r>
      <w:r w:rsidRPr="000F68F9">
        <w:t xml:space="preserve">a net VMT reduction </w:t>
      </w:r>
      <w:r>
        <w:t>c</w:t>
      </w:r>
      <w:r w:rsidRPr="000F68F9">
        <w:t>ould be reasonably expected to occur in the long term</w:t>
      </w:r>
      <w:r>
        <w:t xml:space="preserve"> and individual vegetation treatments would likely be less than significant pursuant to </w:t>
      </w:r>
      <w:r w:rsidRPr="005D089C">
        <w:rPr>
          <w:bCs/>
        </w:rPr>
        <w:t xml:space="preserve">the </w:t>
      </w:r>
      <w:r>
        <w:rPr>
          <w:bCs/>
        </w:rPr>
        <w:t>thresholds identified in OPR</w:t>
      </w:r>
      <w:r w:rsidR="00CC081D">
        <w:rPr>
          <w:bCs/>
        </w:rPr>
        <w:t>’</w:t>
      </w:r>
      <w:r>
        <w:rPr>
          <w:bCs/>
        </w:rPr>
        <w:t xml:space="preserve">s </w:t>
      </w:r>
      <w:r w:rsidRPr="005D089C">
        <w:rPr>
          <w:bCs/>
        </w:rPr>
        <w:t>Technical Advisory on Evaluating Transportation Impacts</w:t>
      </w:r>
      <w:r>
        <w:rPr>
          <w:bCs/>
        </w:rPr>
        <w:t>, which would reduce the CalVTP</w:t>
      </w:r>
      <w:r w:rsidR="00CC081D">
        <w:rPr>
          <w:bCs/>
        </w:rPr>
        <w:t>’</w:t>
      </w:r>
      <w:r>
        <w:rPr>
          <w:bCs/>
        </w:rPr>
        <w:t>s contribution to cumulative impacts</w:t>
      </w:r>
      <w:r>
        <w:t xml:space="preserve">. </w:t>
      </w:r>
    </w:p>
    <w:p w14:paraId="7411E5FB" w14:textId="1F1B8ADD" w:rsidR="00ED0285" w:rsidRDefault="00ED0285" w:rsidP="00ED0285">
      <w:pPr>
        <w:pStyle w:val="Heading3"/>
      </w:pPr>
      <w:r w:rsidRPr="007C2DEB">
        <w:t>Public Services, Utilities and Service Systems</w:t>
      </w:r>
    </w:p>
    <w:p w14:paraId="7753E10A" w14:textId="0699B516" w:rsidR="001544B6" w:rsidRDefault="001544B6" w:rsidP="00233036">
      <w:pPr>
        <w:pStyle w:val="BodyText"/>
      </w:pPr>
      <w:r>
        <w:t xml:space="preserve">The geographic scope of the cumulative impact analysis for public services, utilities, and service systems is the treatable landscape. As discussed in Section 3.12, </w:t>
      </w:r>
      <w:r w:rsidR="00CC081D">
        <w:t>“</w:t>
      </w:r>
      <w:r>
        <w:t>Land Use and Planning, Population and Housing,</w:t>
      </w:r>
      <w:r w:rsidR="00CC081D">
        <w:t>”</w:t>
      </w:r>
      <w:r>
        <w:t xml:space="preserve"> the population of California as a whole and of counties within the treatable landscape is projected to increase during the period in which CalVTP would be implemented</w:t>
      </w:r>
      <w:r w:rsidRPr="008B7187">
        <w:t>. Planned population growth</w:t>
      </w:r>
      <w:r>
        <w:t>,</w:t>
      </w:r>
      <w:r w:rsidRPr="008B7187">
        <w:t xml:space="preserve"> and local regulation of associated development </w:t>
      </w:r>
      <w:r>
        <w:t xml:space="preserve">within the jurisdictional boundaries of incorporated cities and unincorporated areas </w:t>
      </w:r>
      <w:r w:rsidRPr="008B7187">
        <w:t xml:space="preserve">prevent the occurrence of an existing cumulative </w:t>
      </w:r>
      <w:r>
        <w:t>public services, utilities, and service system</w:t>
      </w:r>
      <w:r w:rsidRPr="008B7187">
        <w:t xml:space="preserve"> impact</w:t>
      </w:r>
      <w:r>
        <w:t xml:space="preserve">s by implementing adopted General Plans that include a policy framework which ensures adequate capacity exists to support proposed development. </w:t>
      </w:r>
    </w:p>
    <w:p w14:paraId="67ED4081" w14:textId="0AAFB5E8" w:rsidR="001544B6" w:rsidRDefault="00307E5B" w:rsidP="00233036">
      <w:pPr>
        <w:pStyle w:val="BodyText"/>
      </w:pPr>
      <w:r>
        <w:t>T</w:t>
      </w:r>
      <w:r w:rsidR="001544B6">
        <w:t xml:space="preserve">here would be no impact to public services from the proposed CalVTP; therefore, it would not contribute to cumulative impacts and is not discussed further. </w:t>
      </w:r>
      <w:r w:rsidR="001544B6" w:rsidRPr="009B64FC">
        <w:t>Implementation of the CalVTP would consist of vegetation treatment activities that would modify portions of the treatable landscape and would not involve the development of residential communities or other similar types of development or induce substantial population growt</w:t>
      </w:r>
      <w:r w:rsidR="001544B6">
        <w:t xml:space="preserve">h. As discussed in Impact UTIL-1, a minimal amount of water </w:t>
      </w:r>
      <w:r w:rsidR="001544B6" w:rsidRPr="00457266">
        <w:t xml:space="preserve">would be required for fire suppression during prescribed burning activities and for dust control during vegetation removal within non-shaded fuel breaks. </w:t>
      </w:r>
      <w:r w:rsidR="001544B6">
        <w:t xml:space="preserve">Depending on the location of the treatment activity, </w:t>
      </w:r>
      <w:r w:rsidR="001544B6" w:rsidRPr="000F74C6">
        <w:t xml:space="preserve">water would be supplied via nearby fire hydrants. Within remote or undeveloped areas, CAL FIRE, or the project proponent, would </w:t>
      </w:r>
      <w:r w:rsidR="001544B6">
        <w:t>transport water to the treatment area via fire trucks. Because treatment activities would be implemented over a large geographic area, the pressure on local water providers would be dispersed. Therefore, the CalVTP</w:t>
      </w:r>
      <w:r w:rsidR="00CC081D">
        <w:t>’</w:t>
      </w:r>
      <w:r w:rsidR="00BC6172">
        <w:t>s</w:t>
      </w:r>
      <w:r w:rsidR="001544B6">
        <w:t xml:space="preserve"> contribution to water supply impacts </w:t>
      </w:r>
      <w:r w:rsidR="001544B6" w:rsidRPr="00AC5EB8">
        <w:rPr>
          <w:b/>
        </w:rPr>
        <w:t>would not be cumulatively considerable</w:t>
      </w:r>
      <w:r w:rsidR="001544B6">
        <w:t xml:space="preserve">. </w:t>
      </w:r>
    </w:p>
    <w:p w14:paraId="13D08915" w14:textId="2E9CBCAB" w:rsidR="001544B6" w:rsidRDefault="001544B6" w:rsidP="00233036">
      <w:pPr>
        <w:pStyle w:val="BodyText"/>
      </w:pPr>
      <w:r>
        <w:t xml:space="preserve">As discussed in Impact UTIL-2, the volume of solid organic waste transported offsite to existing biomass power plants, wood product processing facilities, and/or composting facilities for processing could exceed existing infrastructure capacity. </w:t>
      </w:r>
      <w:r w:rsidRPr="004D4D89">
        <w:t xml:space="preserve">Although, additional infrastructure and market demand for the processing of organic materials is expected to increase in the near future, it is too speculative to assume that this </w:t>
      </w:r>
      <w:r>
        <w:t>expansion of infrastructure capacity</w:t>
      </w:r>
      <w:r w:rsidRPr="004D4D89">
        <w:t xml:space="preserve"> would occur consistent with the </w:t>
      </w:r>
      <w:r>
        <w:t xml:space="preserve">increase in </w:t>
      </w:r>
      <w:r w:rsidRPr="004D4D89">
        <w:t>pace and scale of vegetation treatments</w:t>
      </w:r>
      <w:r>
        <w:t xml:space="preserve"> under the CalVTP. Therefore, the CalVTP</w:t>
      </w:r>
      <w:r w:rsidR="00CC081D">
        <w:t>’</w:t>
      </w:r>
      <w:r>
        <w:t xml:space="preserve">s contribution of additional solid organic waste to facilities without adequate capacity to process it </w:t>
      </w:r>
      <w:r w:rsidRPr="00AC5EB8">
        <w:rPr>
          <w:b/>
        </w:rPr>
        <w:t>would be cumulatively considerable</w:t>
      </w:r>
      <w:r>
        <w:t xml:space="preserve">. As explained in Impact UTIL-2, no feasible mitigation exists to </w:t>
      </w:r>
      <w:r>
        <w:lastRenderedPageBreak/>
        <w:t>reduce this impact that does not conflict with the purpose of the CalVTP to reduce wildfire risk in compliance with mandates to increase the pace and scale of vegetation treatments.</w:t>
      </w:r>
    </w:p>
    <w:p w14:paraId="7EAB1540" w14:textId="3EA4A694" w:rsidR="00ED0285" w:rsidRPr="00ED0285" w:rsidRDefault="001544B6" w:rsidP="00233036">
      <w:pPr>
        <w:pStyle w:val="BodyText"/>
      </w:pPr>
      <w:r>
        <w:t xml:space="preserve">As discussed in Impact UTIL-3, implementation of the CalVTP would divert solid organic waste generated from treatment activities from solid waste facilities to </w:t>
      </w:r>
      <w:r w:rsidRPr="0045351A">
        <w:t>biomass power plant</w:t>
      </w:r>
      <w:r>
        <w:t>s</w:t>
      </w:r>
      <w:r w:rsidRPr="0045351A">
        <w:t xml:space="preserve">, wood product processing facility, </w:t>
      </w:r>
      <w:r>
        <w:t xml:space="preserve">and/or </w:t>
      </w:r>
      <w:r w:rsidRPr="0045351A">
        <w:t>composting</w:t>
      </w:r>
      <w:r>
        <w:t xml:space="preserve"> for processing. This would decrease the amount of waste transported to solid waste facilities consistent with AB 939 and SB 1383. Therefore, the</w:t>
      </w:r>
      <w:r w:rsidR="00BC6172">
        <w:t xml:space="preserve"> </w:t>
      </w:r>
      <w:r>
        <w:t>CalVTP</w:t>
      </w:r>
      <w:r w:rsidR="00CC081D">
        <w:t>’</w:t>
      </w:r>
      <w:r w:rsidR="00BC6172">
        <w:t>s</w:t>
      </w:r>
      <w:r>
        <w:t xml:space="preserve"> contribution to increase</w:t>
      </w:r>
      <w:r w:rsidR="00BC6172">
        <w:t>s in</w:t>
      </w:r>
      <w:r>
        <w:t xml:space="preserve"> solid waste </w:t>
      </w:r>
      <w:r w:rsidRPr="00AC5EB8">
        <w:rPr>
          <w:b/>
        </w:rPr>
        <w:t>would not be cumulatively considerable</w:t>
      </w:r>
      <w:r>
        <w:t xml:space="preserve">. </w:t>
      </w:r>
    </w:p>
    <w:p w14:paraId="6DB0BF53" w14:textId="1238E88F" w:rsidR="00ED0285" w:rsidRDefault="00ED0285" w:rsidP="00ED0285">
      <w:pPr>
        <w:pStyle w:val="Heading3"/>
      </w:pPr>
      <w:r w:rsidRPr="007C2DEB">
        <w:t>Wildfire</w:t>
      </w:r>
    </w:p>
    <w:p w14:paraId="4A082AA3" w14:textId="5908EAC3" w:rsidR="009853E9" w:rsidRDefault="009853E9" w:rsidP="0084342B">
      <w:pPr>
        <w:pStyle w:val="BodyText"/>
      </w:pPr>
      <w:r w:rsidRPr="00DD6914">
        <w:t xml:space="preserve">The geographic scope for the </w:t>
      </w:r>
      <w:r>
        <w:t>wildfire</w:t>
      </w:r>
      <w:r w:rsidRPr="00DD6914">
        <w:t xml:space="preserve"> cumulative impact analysis is the treatable landscape and</w:t>
      </w:r>
      <w:r>
        <w:t xml:space="preserve"> immediately adjacent areas</w:t>
      </w:r>
      <w:r w:rsidRPr="00DD6914">
        <w:t xml:space="preserve"> because</w:t>
      </w:r>
      <w:r>
        <w:t xml:space="preserve"> impacts related to wildfire (i.e., uncontrolled spread of wildfire or post-fire flooding or landslides)</w:t>
      </w:r>
      <w:r w:rsidRPr="00DD6914">
        <w:t xml:space="preserve"> </w:t>
      </w:r>
      <w:r>
        <w:t>are location specific and only projects within or immediately adjacent to CalVTP treatment areas could combine to result in cumulative wildfire impacts</w:t>
      </w:r>
      <w:r w:rsidRPr="00DD6914">
        <w:t>. As discussed in Section 4.</w:t>
      </w:r>
      <w:r w:rsidR="007C75FD">
        <w:t>3</w:t>
      </w:r>
      <w:r w:rsidRPr="00DD6914">
        <w:t xml:space="preserve">, </w:t>
      </w:r>
      <w:r w:rsidR="00CC081D">
        <w:t>“</w:t>
      </w:r>
      <w:r w:rsidRPr="00DD6914">
        <w:t>Related Project and Plans,</w:t>
      </w:r>
      <w:r w:rsidR="00CC081D">
        <w:t>”</w:t>
      </w:r>
      <w:r w:rsidRPr="00DD6914">
        <w:t xml:space="preserve"> above, there are several similar </w:t>
      </w:r>
      <w:proofErr w:type="gramStart"/>
      <w:r w:rsidRPr="00DD6914">
        <w:t>past</w:t>
      </w:r>
      <w:proofErr w:type="gramEnd"/>
      <w:r w:rsidRPr="00DD6914">
        <w:t>, present, and reasonably foreseeable projects that have and likely will</w:t>
      </w:r>
      <w:r>
        <w:t xml:space="preserve"> use internal combustion engines within wildlands, which have the potential to create sparks and subsequent fire, and</w:t>
      </w:r>
      <w:r w:rsidRPr="00DD6914">
        <w:t xml:space="preserve"> </w:t>
      </w:r>
      <w:r>
        <w:t xml:space="preserve">employ prescribed burning </w:t>
      </w:r>
      <w:r w:rsidRPr="00DD6914">
        <w:t>within and surrounding the treatable landscape. Examples of related projects and plans that could combine to result in significant cumulative impacts are implementation of CAL FIRE</w:t>
      </w:r>
      <w:r w:rsidR="00CC081D">
        <w:t>’</w:t>
      </w:r>
      <w:r w:rsidRPr="00DD6914">
        <w:t xml:space="preserve">s </w:t>
      </w:r>
      <w:r w:rsidR="00C5252C">
        <w:t xml:space="preserve">CMP and </w:t>
      </w:r>
      <w:r w:rsidRPr="00DD6914">
        <w:t xml:space="preserve">VMP, </w:t>
      </w:r>
      <w:r>
        <w:t xml:space="preserve">implementation of projects under the </w:t>
      </w:r>
      <w:r w:rsidR="00FD56E7">
        <w:t>CFIP</w:t>
      </w:r>
      <w:r>
        <w:t xml:space="preserve">, timber harvesting, implementation of defensible space per PRC 4291, </w:t>
      </w:r>
      <w:r w:rsidRPr="00DD6914">
        <w:t>and</w:t>
      </w:r>
      <w:r>
        <w:t xml:space="preserve"> </w:t>
      </w:r>
      <w:r w:rsidRPr="00FF62D6">
        <w:t>adjacent vegetation and fuels treatment programs implemented outside of the SRA.</w:t>
      </w:r>
      <w:r w:rsidRPr="00DD6914">
        <w:t xml:space="preserve"> </w:t>
      </w:r>
    </w:p>
    <w:p w14:paraId="36589DBC" w14:textId="73C4F072" w:rsidR="009853E9" w:rsidRPr="00FF62D6" w:rsidRDefault="009853E9" w:rsidP="0084342B">
      <w:pPr>
        <w:pStyle w:val="BodyText"/>
      </w:pPr>
      <w:r w:rsidRPr="00FF62D6">
        <w:t>The other past, present, and reasonably foreseeable projects identified in Section 4.</w:t>
      </w:r>
      <w:r w:rsidR="007C75FD">
        <w:t>3</w:t>
      </w:r>
      <w:r w:rsidRPr="00FF62D6">
        <w:t xml:space="preserve">, </w:t>
      </w:r>
      <w:r w:rsidR="00CC081D">
        <w:t>“</w:t>
      </w:r>
      <w:r w:rsidRPr="00FF62D6">
        <w:t>Related Projects and Plans,</w:t>
      </w:r>
      <w:r w:rsidR="00CC081D">
        <w:t>”</w:t>
      </w:r>
      <w:r w:rsidRPr="00FF62D6">
        <w:t xml:space="preserve"> combined with the proposed CalVTP activities </w:t>
      </w:r>
      <w:r>
        <w:t>c</w:t>
      </w:r>
      <w:r w:rsidRPr="00FF62D6">
        <w:t xml:space="preserve">ould result in a significant cumulative impact </w:t>
      </w:r>
      <w:r>
        <w:t xml:space="preserve">related to the uncontrolled spread of fire as both the frequency and severity of wildfires in California are increasing (refer to Chapter 1, </w:t>
      </w:r>
      <w:r w:rsidR="00CC081D">
        <w:t>“</w:t>
      </w:r>
      <w:r>
        <w:t>Introduction,</w:t>
      </w:r>
      <w:r w:rsidR="00CC081D">
        <w:t>”</w:t>
      </w:r>
      <w:r>
        <w:t xml:space="preserve"> and Section 3.17, </w:t>
      </w:r>
      <w:r w:rsidR="00CC081D">
        <w:t>“</w:t>
      </w:r>
      <w:r>
        <w:t>Wildfire,</w:t>
      </w:r>
      <w:r w:rsidR="00CC081D">
        <w:t>”</w:t>
      </w:r>
      <w:r>
        <w:t xml:space="preserve"> for a description of current wildfire trends).</w:t>
      </w:r>
      <w:r w:rsidRPr="00FF62D6">
        <w:t xml:space="preserve"> As described in Impact </w:t>
      </w:r>
      <w:r>
        <w:t>WIL</w:t>
      </w:r>
      <w:r w:rsidRPr="00FF62D6">
        <w:t xml:space="preserve">-1, </w:t>
      </w:r>
      <w:r>
        <w:t>CalVTP treatment activities could result in temporary risks associated with fire from prescribed burning, as well as from the use of vehicles and heavy machinery in the treatable landscape as each can increase the risk of an accidental wildfire ignition. Several SPRs would be implemented to reduce the risk of fire from treatment activities including requiring that mechanized hand tools have federal- or state-approved spark arresters (</w:t>
      </w:r>
      <w:r w:rsidRPr="00555AC9">
        <w:t>SPR HAZ-</w:t>
      </w:r>
      <w:r w:rsidR="00C5252C">
        <w:t>2</w:t>
      </w:r>
      <w:r w:rsidRPr="00555AC9">
        <w:t>)</w:t>
      </w:r>
      <w:r>
        <w:t xml:space="preserve">, </w:t>
      </w:r>
      <w:r w:rsidRPr="00734A4D">
        <w:t xml:space="preserve">which prevent the emissions of flammable debris. Vegetation treatment crews would carry one fire extinguisher per chainsaw and one long-handle shovel and one axe or </w:t>
      </w:r>
      <w:r w:rsidR="00C5252C">
        <w:t>P</w:t>
      </w:r>
      <w:r w:rsidRPr="00734A4D">
        <w:t xml:space="preserve">ulaski </w:t>
      </w:r>
      <w:r w:rsidR="00C5252C">
        <w:t>consistent with PRC Section 4428</w:t>
      </w:r>
      <w:r w:rsidR="00C5252C" w:rsidRPr="00734A4D">
        <w:t xml:space="preserve"> </w:t>
      </w:r>
      <w:r w:rsidRPr="00734A4D">
        <w:t>(SPR HAZ-</w:t>
      </w:r>
      <w:r w:rsidR="00C5252C">
        <w:t>3</w:t>
      </w:r>
      <w:r w:rsidRPr="00734A4D">
        <w:t>), to quickly respond to an ignition should on</w:t>
      </w:r>
      <w:r>
        <w:t>e</w:t>
      </w:r>
      <w:r w:rsidRPr="00734A4D">
        <w:t xml:space="preserve"> occur. Additionally, smoking would only </w:t>
      </w:r>
      <w:r>
        <w:t xml:space="preserve">be </w:t>
      </w:r>
      <w:r w:rsidRPr="00734A4D">
        <w:t>permitted in designated smoking areas with barren or cleared mineral soil to at least 3 feet in diameter (SPR HAZ-</w:t>
      </w:r>
      <w:r w:rsidR="00C5252C">
        <w:t>4</w:t>
      </w:r>
      <w:r w:rsidRPr="00734A4D">
        <w:t>), which would help to minimize the risk of accidental wildfire ignition</w:t>
      </w:r>
      <w:r>
        <w:t>. Therefore, it</w:t>
      </w:r>
      <w:r w:rsidR="00C5252C">
        <w:t xml:space="preserve"> is</w:t>
      </w:r>
      <w:r>
        <w:t xml:space="preserve"> unlikely that the presence and use of vehicles and equipment needed to implement the treatment activities would substantially exacerbate fire risk resulting in the uncontrolled spread of wildfire. </w:t>
      </w:r>
      <w:r w:rsidRPr="006332A9">
        <w:t>In addition, given all of the preparation (e.g., of a SMP and Burn Plan), ongoing monitoring and maintenance, and safety protocols, prescri</w:t>
      </w:r>
      <w:r w:rsidR="0047164A">
        <w:t>bed</w:t>
      </w:r>
      <w:r w:rsidRPr="006332A9">
        <w:t xml:space="preserve"> burning would not substantially exacerbate fire risk or result in the uncontrolled spread of wildfire. </w:t>
      </w:r>
      <w:r w:rsidRPr="00734A4D">
        <w:t xml:space="preserve">In the long term, as one of the primary purposes of the </w:t>
      </w:r>
      <w:r w:rsidR="0047164A">
        <w:t>CalVTP</w:t>
      </w:r>
      <w:r w:rsidRPr="00734A4D">
        <w:t xml:space="preserve">, implementation of the treatment activities would reduce wildfire risk. Fuel reduction activities in the WUI would consist of strategic removal of vegetation to prevent or slow the spread of wildfire between structures and wildlands and vice versa. Fuel breaks would create zones of vegetation removal and ongoing maintenance, to help passively interrupt the path of a fire or slow its progress and to support fire suppression by providing responders with a staging area and access to remote locations for fire control actions. Ecological restoration would focus on restoring ecosystem processes, conditions, and resiliency by modifying uncharacteristic wildland fuel conditions to reflect historic vegetative composition, structure, and habitat values. Therefore, to the extent the treatments reduce wildfire risk, implementation of the CalVTP would have a beneficial </w:t>
      </w:r>
      <w:r w:rsidR="00EB6BC9">
        <w:t xml:space="preserve">effect </w:t>
      </w:r>
      <w:r w:rsidRPr="00734A4D">
        <w:t xml:space="preserve">related to wildfire over the long-term and would not exacerbate fire risk. </w:t>
      </w:r>
      <w:r>
        <w:t>Overall, the CalVTP, in combination with other vegetation treatment plans and</w:t>
      </w:r>
      <w:r w:rsidRPr="00EC794E">
        <w:t xml:space="preserve"> projects identified in Section 4.</w:t>
      </w:r>
      <w:r w:rsidR="007C75FD">
        <w:t>3</w:t>
      </w:r>
      <w:r w:rsidRPr="00EC794E">
        <w:t xml:space="preserve">, </w:t>
      </w:r>
      <w:r w:rsidR="00CC081D">
        <w:t>“</w:t>
      </w:r>
      <w:r w:rsidRPr="00EC794E">
        <w:t>Related Projects and Plans,</w:t>
      </w:r>
      <w:r w:rsidR="00CC081D">
        <w:t>”</w:t>
      </w:r>
      <w:r>
        <w:t xml:space="preserve"> would </w:t>
      </w:r>
      <w:r w:rsidR="00EB6BC9">
        <w:t>combine</w:t>
      </w:r>
      <w:r>
        <w:t xml:space="preserve"> to reduce the risk of uncontrolled wildfire throughout the state. Therefore, </w:t>
      </w:r>
      <w:r w:rsidRPr="00FF62D6">
        <w:t>the CalVTP</w:t>
      </w:r>
      <w:r w:rsidR="00CC081D">
        <w:t>’</w:t>
      </w:r>
      <w:r w:rsidRPr="00FF62D6">
        <w:t xml:space="preserve">s contribution to </w:t>
      </w:r>
      <w:r>
        <w:t>exacerbating fire risk</w:t>
      </w:r>
      <w:r w:rsidRPr="00FF62D6">
        <w:t xml:space="preserve"> from implementation of treatment activities </w:t>
      </w:r>
      <w:r w:rsidRPr="00EB6BC9">
        <w:rPr>
          <w:b/>
        </w:rPr>
        <w:t>would not be cumulatively considerable</w:t>
      </w:r>
      <w:r w:rsidRPr="00FF62D6">
        <w:t xml:space="preserve">. </w:t>
      </w:r>
    </w:p>
    <w:p w14:paraId="2C3E7F3B" w14:textId="0B4F591F" w:rsidR="009853E9" w:rsidRDefault="009853E9" w:rsidP="0084342B">
      <w:pPr>
        <w:pStyle w:val="BodyText"/>
      </w:pPr>
      <w:r w:rsidRPr="00FF62D6">
        <w:lastRenderedPageBreak/>
        <w:t>The other past, present, and reasonably foreseeable projects identified in Section 4.</w:t>
      </w:r>
      <w:r w:rsidR="007C75FD">
        <w:t>3</w:t>
      </w:r>
      <w:r w:rsidRPr="00FF62D6">
        <w:t xml:space="preserve">, </w:t>
      </w:r>
      <w:r w:rsidR="00CC081D">
        <w:t>“</w:t>
      </w:r>
      <w:r w:rsidRPr="00FF62D6">
        <w:t>Related Projects and Plans,</w:t>
      </w:r>
      <w:r w:rsidR="00CC081D">
        <w:t>”</w:t>
      </w:r>
      <w:r w:rsidRPr="00FF62D6">
        <w:t xml:space="preserve"> combined with the proposed CalVTP activities </w:t>
      </w:r>
      <w:r>
        <w:t>c</w:t>
      </w:r>
      <w:r w:rsidRPr="00FF62D6">
        <w:t xml:space="preserve">ould result in a significant cumulative impact </w:t>
      </w:r>
      <w:r>
        <w:t>related to flooding or landslides as evidenced by the</w:t>
      </w:r>
      <w:r w:rsidRPr="00FF62D6">
        <w:t xml:space="preserve"> </w:t>
      </w:r>
      <w:r>
        <w:t xml:space="preserve">significant debris flows and landslides that have occurred in California in recent years, such as the large landslide in Big Sur in May 2017 and the debris flow in Montecito in January 2018. </w:t>
      </w:r>
      <w:r w:rsidRPr="00FF62D6">
        <w:t xml:space="preserve">As described in Impact </w:t>
      </w:r>
      <w:r>
        <w:t>WIL</w:t>
      </w:r>
      <w:r w:rsidRPr="00FF62D6">
        <w:t>-</w:t>
      </w:r>
      <w:r>
        <w:t>2</w:t>
      </w:r>
      <w:r w:rsidRPr="00FF62D6">
        <w:t xml:space="preserve">, </w:t>
      </w:r>
      <w:r w:rsidR="00EB6BC9">
        <w:t>t</w:t>
      </w:r>
      <w:r w:rsidRPr="002B6D29">
        <w:t xml:space="preserve">he proposed CalVTP does not include new housing nor would it result in substantial unplanned population growth. Therefore, it would not expose people or structures to substantial risks related to post-wildfire flooding or landslides. Although prescribed burning is proposed under the CalVTP, it would be low severity and retain significant vegetation, thereby maintaining stability of the </w:t>
      </w:r>
      <w:r w:rsidR="00EB6BC9">
        <w:t xml:space="preserve">burned </w:t>
      </w:r>
      <w:r w:rsidRPr="002B6D29">
        <w:t>area. In addition</w:t>
      </w:r>
      <w:r>
        <w:t>,</w:t>
      </w:r>
      <w:r w:rsidRPr="006632E2">
        <w:rPr>
          <w:color w:val="000000"/>
        </w:rPr>
        <w:t xml:space="preserve"> </w:t>
      </w:r>
      <w:r>
        <w:rPr>
          <w:color w:val="000000"/>
        </w:rPr>
        <w:t>SPR</w:t>
      </w:r>
      <w:r w:rsidR="00EB6BC9">
        <w:rPr>
          <w:color w:val="000000"/>
        </w:rPr>
        <w:t>s</w:t>
      </w:r>
      <w:r>
        <w:rPr>
          <w:color w:val="000000"/>
        </w:rPr>
        <w:t xml:space="preserve"> </w:t>
      </w:r>
      <w:r w:rsidRPr="002B6D29">
        <w:t xml:space="preserve">would be incorporated into </w:t>
      </w:r>
      <w:r>
        <w:t>qualifying</w:t>
      </w:r>
      <w:r w:rsidRPr="002B6D29">
        <w:t xml:space="preserve"> CalVTP projects to help stabiliz</w:t>
      </w:r>
      <w:r w:rsidR="00D41B7D">
        <w:t>e</w:t>
      </w:r>
      <w:r w:rsidRPr="002B6D29">
        <w:t xml:space="preserve"> </w:t>
      </w:r>
      <w:r>
        <w:t>disturbed soil</w:t>
      </w:r>
      <w:r w:rsidRPr="002B6D29">
        <w:t xml:space="preserve"> that is created from treatments</w:t>
      </w:r>
      <w:r>
        <w:t xml:space="preserve"> to prevent</w:t>
      </w:r>
      <w:r w:rsidRPr="006632E2">
        <w:rPr>
          <w:color w:val="000000"/>
        </w:rPr>
        <w:t xml:space="preserve"> </w:t>
      </w:r>
      <w:r>
        <w:rPr>
          <w:color w:val="000000"/>
        </w:rPr>
        <w:t xml:space="preserve">erosion (SPR GEO-3), require inspection </w:t>
      </w:r>
      <w:r w:rsidR="00C5252C">
        <w:rPr>
          <w:color w:val="000000"/>
        </w:rPr>
        <w:t xml:space="preserve">of </w:t>
      </w:r>
      <w:r>
        <w:rPr>
          <w:color w:val="000000"/>
        </w:rPr>
        <w:t xml:space="preserve">treatment areas </w:t>
      </w:r>
      <w:r w:rsidR="00C5252C">
        <w:rPr>
          <w:color w:val="000000"/>
        </w:rPr>
        <w:t xml:space="preserve">prior to the rainy season and </w:t>
      </w:r>
      <w:r w:rsidR="00C5252C" w:rsidRPr="00BF1046">
        <w:t xml:space="preserve">after the first large rainfall event </w:t>
      </w:r>
      <w:r>
        <w:rPr>
          <w:color w:val="000000"/>
        </w:rPr>
        <w:t xml:space="preserve">for evidence of erosion (SPR GEO-4), install stormwater drainage features via water breaks to reduce stormwater runoff from implementing fuel breaks (SPR GEO-5), minimize soil burn severity during prescribed burns which would help to retain vegetation to stabilize the soil (SPR </w:t>
      </w:r>
      <w:r w:rsidR="00C5252C">
        <w:rPr>
          <w:color w:val="000000"/>
        </w:rPr>
        <w:t>AQ-3</w:t>
      </w:r>
      <w:r>
        <w:rPr>
          <w:color w:val="000000"/>
        </w:rPr>
        <w:t xml:space="preserve">), and require that a registered professional forester or licensed geologist evaluate treatment areas for potential issues with instability </w:t>
      </w:r>
      <w:r>
        <w:t>and modify treatments to account for instability issues (SPR GEO-</w:t>
      </w:r>
      <w:r w:rsidR="00D41B7D">
        <w:t>9</w:t>
      </w:r>
      <w:r>
        <w:t>)</w:t>
      </w:r>
      <w:r>
        <w:rPr>
          <w:color w:val="000000"/>
        </w:rPr>
        <w:t>.</w:t>
      </w:r>
      <w:r w:rsidRPr="002B6D29">
        <w:t xml:space="preserve"> Therefore, prescribed burning under the CalVTP would not expose people or structures to substantial risks from post-prescribed burning landslides or flooding</w:t>
      </w:r>
      <w:r>
        <w:t xml:space="preserve">, and </w:t>
      </w:r>
      <w:r w:rsidRPr="00FF62D6">
        <w:t>the CalVTP</w:t>
      </w:r>
      <w:r w:rsidR="00CC081D">
        <w:t>’</w:t>
      </w:r>
      <w:r w:rsidRPr="00FF62D6">
        <w:t xml:space="preserve">s contribution to </w:t>
      </w:r>
      <w:r>
        <w:t>impacts related to post-fire flooding or landslides</w:t>
      </w:r>
      <w:r w:rsidRPr="00FF62D6">
        <w:t xml:space="preserve"> from implementation of treatment activities </w:t>
      </w:r>
      <w:r w:rsidRPr="00D41B7D">
        <w:rPr>
          <w:b/>
        </w:rPr>
        <w:t>would not be cumulatively considerable</w:t>
      </w:r>
      <w:r w:rsidRPr="00FF62D6">
        <w:t>.</w:t>
      </w:r>
    </w:p>
    <w:bookmarkEnd w:id="1"/>
    <w:sectPr w:rsidR="009853E9" w:rsidSect="007839DE">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080" w:right="1080" w:bottom="1080" w:left="1080" w:header="576" w:footer="576" w:gutter="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AFB4" w14:textId="77777777" w:rsidR="00C54D76" w:rsidRDefault="00C54D76" w:rsidP="00616787">
      <w:r>
        <w:separator/>
      </w:r>
    </w:p>
  </w:endnote>
  <w:endnote w:type="continuationSeparator" w:id="0">
    <w:p w14:paraId="11DC4544" w14:textId="77777777" w:rsidR="00C54D76" w:rsidRDefault="00C54D76" w:rsidP="00616787">
      <w:r>
        <w:continuationSeparator/>
      </w:r>
    </w:p>
  </w:endnote>
  <w:endnote w:type="continuationNotice" w:id="1">
    <w:p w14:paraId="76708AC7" w14:textId="77777777" w:rsidR="00C54D76" w:rsidRDefault="00C5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0A6E" w14:textId="500C89B9" w:rsidR="00C54D76" w:rsidRPr="00AE4D3F" w:rsidRDefault="00C54D76" w:rsidP="000C2841">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A3B">
      <w:rPr>
        <w:rFonts w:cs="Segoe UI Semilight"/>
        <w:noProof/>
      </w:rPr>
      <w:t>4-2</w:t>
    </w:r>
    <w:r w:rsidRPr="00AE4D3F">
      <w:rPr>
        <w:rFonts w:cs="Segoe UI Semilight"/>
        <w:noProof/>
      </w:rPr>
      <w:fldChar w:fldCharType="end"/>
    </w:r>
    <w:r>
      <w:rPr>
        <w:rFonts w:cs="Segoe UI Semilight"/>
        <w:noProof/>
      </w:rPr>
      <w:tab/>
    </w:r>
    <w:r w:rsidR="00246D4E">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48AA" w14:textId="1571753E" w:rsidR="00C54D76" w:rsidRPr="00AE4D3F" w:rsidRDefault="00C54D76" w:rsidP="000C2841">
    <w:pPr>
      <w:pStyle w:val="Footer"/>
    </w:pPr>
    <w:r w:rsidRPr="00AE4D3F">
      <w:t>Board of Forestry and Fire Protection</w:t>
    </w:r>
    <w:r w:rsidRPr="00AE4D3F">
      <w:tab/>
    </w:r>
    <w:r>
      <w:br/>
    </w:r>
    <w:r w:rsidR="00246D4E">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A3B">
      <w:rPr>
        <w:rFonts w:cs="Segoe UI Semilight"/>
        <w:noProof/>
      </w:rPr>
      <w:t>4-21</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6057" w14:textId="0B7588B0" w:rsidR="00C54D76" w:rsidRPr="00AE4D3F" w:rsidRDefault="00C54D76" w:rsidP="000C2841">
    <w:pPr>
      <w:pStyle w:val="Footer"/>
    </w:pPr>
    <w:r w:rsidRPr="00AE4D3F">
      <w:t>Board of Forestry and Fire Protection</w:t>
    </w:r>
    <w:r w:rsidRPr="00AE4D3F">
      <w:tab/>
    </w:r>
    <w:r>
      <w:br/>
    </w:r>
    <w:r w:rsidR="00246D4E">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BF7A3B">
      <w:rPr>
        <w:rFonts w:cs="Segoe UI Semilight"/>
        <w:noProof/>
      </w:rPr>
      <w:t>4-1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5A91" w14:textId="77777777" w:rsidR="00C54D76" w:rsidRDefault="00C54D76" w:rsidP="00616787">
      <w:r>
        <w:separator/>
      </w:r>
    </w:p>
  </w:footnote>
  <w:footnote w:type="continuationSeparator" w:id="0">
    <w:p w14:paraId="16769395" w14:textId="77777777" w:rsidR="00C54D76" w:rsidRDefault="00C54D76" w:rsidP="00616787">
      <w:r>
        <w:continuationSeparator/>
      </w:r>
    </w:p>
  </w:footnote>
  <w:footnote w:type="continuationNotice" w:id="1">
    <w:p w14:paraId="06794B9C" w14:textId="77777777" w:rsidR="00C54D76" w:rsidRDefault="00C54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F728" w14:textId="6E0AABD9" w:rsidR="00C54D76" w:rsidRDefault="00C54D76" w:rsidP="00732FBA">
    <w:pPr>
      <w:pStyle w:val="Header"/>
    </w:pPr>
    <w:r>
      <w:t>Cumulative Effects Analysis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EE85" w14:textId="2A6F992C" w:rsidR="00C54D76" w:rsidRDefault="00C54D76" w:rsidP="00732FBA">
    <w:pPr>
      <w:pStyle w:val="Header"/>
    </w:pPr>
    <w:r>
      <w:t>Ascent Environmental</w:t>
    </w:r>
    <w:r>
      <w:tab/>
    </w:r>
    <w:r>
      <w:tab/>
      <w:t>Cumulative Effects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F11" w14:textId="26F3B244" w:rsidR="00C54D76" w:rsidRPr="000C001A" w:rsidRDefault="00C54D76" w:rsidP="00262FE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47EF"/>
    <w:multiLevelType w:val="hybridMultilevel"/>
    <w:tmpl w:val="F4B2D7B8"/>
    <w:lvl w:ilvl="0" w:tplc="B3FC78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8063DB"/>
    <w:multiLevelType w:val="multilevel"/>
    <w:tmpl w:val="3AE0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3B031E"/>
    <w:multiLevelType w:val="multilevel"/>
    <w:tmpl w:val="0218C6E0"/>
    <w:lvl w:ilvl="0">
      <w:start w:val="4"/>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432EC"/>
    <w:multiLevelType w:val="multilevel"/>
    <w:tmpl w:val="9E14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D098E"/>
    <w:multiLevelType w:val="multilevel"/>
    <w:tmpl w:val="784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E074CC"/>
    <w:multiLevelType w:val="multilevel"/>
    <w:tmpl w:val="0EE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03573"/>
    <w:multiLevelType w:val="hybridMultilevel"/>
    <w:tmpl w:val="6C8A5FDA"/>
    <w:lvl w:ilvl="0" w:tplc="830E2EA0">
      <w:start w:val="1"/>
      <w:numFmt w:val="bullet"/>
      <w:lvlText w:val=""/>
      <w:lvlJc w:val="left"/>
      <w:pPr>
        <w:ind w:left="360" w:hanging="360"/>
      </w:pPr>
      <w:rPr>
        <w:rFonts w:ascii="Symbol" w:hAnsi="Symbol" w:hint="default"/>
        <w:sz w:val="24"/>
        <w:szCs w:val="12"/>
      </w:rPr>
    </w:lvl>
    <w:lvl w:ilvl="1" w:tplc="1B469502">
      <w:start w:val="1"/>
      <w:numFmt w:val="bullet"/>
      <w:lvlText w:val="o"/>
      <w:lvlJc w:val="left"/>
      <w:pPr>
        <w:tabs>
          <w:tab w:val="num" w:pos="1440"/>
        </w:tabs>
        <w:ind w:left="1440" w:hanging="360"/>
      </w:pPr>
      <w:rPr>
        <w:rFonts w:ascii="Courier New" w:hAnsi="Courier New" w:cs="Courier New" w:hint="default"/>
      </w:rPr>
    </w:lvl>
    <w:lvl w:ilvl="2" w:tplc="1BCE2BAA" w:tentative="1">
      <w:start w:val="1"/>
      <w:numFmt w:val="bullet"/>
      <w:lvlText w:val=""/>
      <w:lvlJc w:val="left"/>
      <w:pPr>
        <w:tabs>
          <w:tab w:val="num" w:pos="2160"/>
        </w:tabs>
        <w:ind w:left="2160" w:hanging="360"/>
      </w:pPr>
      <w:rPr>
        <w:rFonts w:ascii="Wingdings" w:hAnsi="Wingdings" w:hint="default"/>
      </w:rPr>
    </w:lvl>
    <w:lvl w:ilvl="3" w:tplc="764E19C8" w:tentative="1">
      <w:start w:val="1"/>
      <w:numFmt w:val="bullet"/>
      <w:lvlText w:val=""/>
      <w:lvlJc w:val="left"/>
      <w:pPr>
        <w:tabs>
          <w:tab w:val="num" w:pos="2880"/>
        </w:tabs>
        <w:ind w:left="2880" w:hanging="360"/>
      </w:pPr>
      <w:rPr>
        <w:rFonts w:ascii="Symbol" w:hAnsi="Symbol" w:hint="default"/>
      </w:rPr>
    </w:lvl>
    <w:lvl w:ilvl="4" w:tplc="6B7832F6" w:tentative="1">
      <w:start w:val="1"/>
      <w:numFmt w:val="bullet"/>
      <w:lvlText w:val="o"/>
      <w:lvlJc w:val="left"/>
      <w:pPr>
        <w:tabs>
          <w:tab w:val="num" w:pos="3600"/>
        </w:tabs>
        <w:ind w:left="3600" w:hanging="360"/>
      </w:pPr>
      <w:rPr>
        <w:rFonts w:ascii="Courier New" w:hAnsi="Courier New" w:cs="Courier New" w:hint="default"/>
      </w:rPr>
    </w:lvl>
    <w:lvl w:ilvl="5" w:tplc="75AE3466" w:tentative="1">
      <w:start w:val="1"/>
      <w:numFmt w:val="bullet"/>
      <w:lvlText w:val=""/>
      <w:lvlJc w:val="left"/>
      <w:pPr>
        <w:tabs>
          <w:tab w:val="num" w:pos="4320"/>
        </w:tabs>
        <w:ind w:left="4320" w:hanging="360"/>
      </w:pPr>
      <w:rPr>
        <w:rFonts w:ascii="Wingdings" w:hAnsi="Wingdings" w:hint="default"/>
      </w:rPr>
    </w:lvl>
    <w:lvl w:ilvl="6" w:tplc="8E8061F6" w:tentative="1">
      <w:start w:val="1"/>
      <w:numFmt w:val="bullet"/>
      <w:lvlText w:val=""/>
      <w:lvlJc w:val="left"/>
      <w:pPr>
        <w:tabs>
          <w:tab w:val="num" w:pos="5040"/>
        </w:tabs>
        <w:ind w:left="5040" w:hanging="360"/>
      </w:pPr>
      <w:rPr>
        <w:rFonts w:ascii="Symbol" w:hAnsi="Symbol" w:hint="default"/>
      </w:rPr>
    </w:lvl>
    <w:lvl w:ilvl="7" w:tplc="A4225A56" w:tentative="1">
      <w:start w:val="1"/>
      <w:numFmt w:val="bullet"/>
      <w:lvlText w:val="o"/>
      <w:lvlJc w:val="left"/>
      <w:pPr>
        <w:tabs>
          <w:tab w:val="num" w:pos="5760"/>
        </w:tabs>
        <w:ind w:left="5760" w:hanging="360"/>
      </w:pPr>
      <w:rPr>
        <w:rFonts w:ascii="Courier New" w:hAnsi="Courier New" w:cs="Courier New" w:hint="default"/>
      </w:rPr>
    </w:lvl>
    <w:lvl w:ilvl="8" w:tplc="F9EA3B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251693"/>
    <w:multiLevelType w:val="multilevel"/>
    <w:tmpl w:val="755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D964CB"/>
    <w:multiLevelType w:val="hybridMultilevel"/>
    <w:tmpl w:val="4CB6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24"/>
  </w:num>
  <w:num w:numId="4">
    <w:abstractNumId w:val="15"/>
  </w:num>
  <w:num w:numId="5">
    <w:abstractNumId w:val="28"/>
  </w:num>
  <w:num w:numId="6">
    <w:abstractNumId w:val="23"/>
  </w:num>
  <w:num w:numId="7">
    <w:abstractNumId w:val="14"/>
  </w:num>
  <w:num w:numId="8">
    <w:abstractNumId w:val="27"/>
  </w:num>
  <w:num w:numId="9">
    <w:abstractNumId w:val="13"/>
  </w:num>
  <w:num w:numId="10">
    <w:abstractNumId w:val="20"/>
  </w:num>
  <w:num w:numId="11">
    <w:abstractNumId w:val="16"/>
  </w:num>
  <w:num w:numId="12">
    <w:abstractNumId w:val="22"/>
  </w:num>
  <w:num w:numId="13">
    <w:abstractNumId w:val="25"/>
  </w:num>
  <w:num w:numId="14">
    <w:abstractNumId w:val="12"/>
  </w:num>
  <w:num w:numId="15">
    <w:abstractNumId w:val="12"/>
  </w:num>
  <w:num w:numId="16">
    <w:abstractNumId w:val="2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0"/>
  </w:num>
  <w:num w:numId="30">
    <w:abstractNumId w:val="11"/>
  </w:num>
  <w:num w:numId="3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gKOAdSQuzCyNRU7RwdzBiTXKJG3zHTw7SECgrzemoTDmzvYYyRKvIggK5MRxq9KdhcN5D6lQWtascuaV4k5mEg==" w:salt="folYovojxEZCRpvk0ji2PA=="/>
  <w:defaultTabStop w:val="720"/>
  <w:evenAndOddHeaders/>
  <w:drawingGridHorizontalSpacing w:val="110"/>
  <w:drawingGridVerticalSpacing w:val="299"/>
  <w:displayHorizontalDrawingGridEvery w:val="2"/>
  <w:characterSpacingControl w:val="doNotCompress"/>
  <w:hdrShapeDefaults>
    <o:shapedefaults v:ext="edit" spidmax="292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DE"/>
    <w:rsid w:val="00000711"/>
    <w:rsid w:val="00001D8D"/>
    <w:rsid w:val="00004C31"/>
    <w:rsid w:val="000050CA"/>
    <w:rsid w:val="00007DB2"/>
    <w:rsid w:val="00007EB7"/>
    <w:rsid w:val="00012B0A"/>
    <w:rsid w:val="000135BD"/>
    <w:rsid w:val="00014A56"/>
    <w:rsid w:val="000153DC"/>
    <w:rsid w:val="0001610A"/>
    <w:rsid w:val="00016151"/>
    <w:rsid w:val="00016FED"/>
    <w:rsid w:val="000173CE"/>
    <w:rsid w:val="0001791A"/>
    <w:rsid w:val="00017D82"/>
    <w:rsid w:val="0002451E"/>
    <w:rsid w:val="00025D55"/>
    <w:rsid w:val="000274DE"/>
    <w:rsid w:val="00032522"/>
    <w:rsid w:val="00032B57"/>
    <w:rsid w:val="000330A2"/>
    <w:rsid w:val="00033F4B"/>
    <w:rsid w:val="000363D6"/>
    <w:rsid w:val="00036417"/>
    <w:rsid w:val="00042421"/>
    <w:rsid w:val="00045575"/>
    <w:rsid w:val="00046184"/>
    <w:rsid w:val="00046FA0"/>
    <w:rsid w:val="0004732C"/>
    <w:rsid w:val="0004739A"/>
    <w:rsid w:val="000474AA"/>
    <w:rsid w:val="00047EB7"/>
    <w:rsid w:val="00052B74"/>
    <w:rsid w:val="00053A4F"/>
    <w:rsid w:val="00053ECB"/>
    <w:rsid w:val="00054AAC"/>
    <w:rsid w:val="00054AF9"/>
    <w:rsid w:val="0005507F"/>
    <w:rsid w:val="00055760"/>
    <w:rsid w:val="00060FDF"/>
    <w:rsid w:val="0006308D"/>
    <w:rsid w:val="00064615"/>
    <w:rsid w:val="0006531B"/>
    <w:rsid w:val="00071811"/>
    <w:rsid w:val="0007295B"/>
    <w:rsid w:val="000757EE"/>
    <w:rsid w:val="00075AE6"/>
    <w:rsid w:val="0008085D"/>
    <w:rsid w:val="00080DC3"/>
    <w:rsid w:val="00080F0A"/>
    <w:rsid w:val="000852BA"/>
    <w:rsid w:val="0009002F"/>
    <w:rsid w:val="0009266B"/>
    <w:rsid w:val="00093184"/>
    <w:rsid w:val="000937F3"/>
    <w:rsid w:val="000939C3"/>
    <w:rsid w:val="00093C40"/>
    <w:rsid w:val="00094CD4"/>
    <w:rsid w:val="0009582F"/>
    <w:rsid w:val="000962BE"/>
    <w:rsid w:val="000A220B"/>
    <w:rsid w:val="000A3C74"/>
    <w:rsid w:val="000A3E75"/>
    <w:rsid w:val="000A4B89"/>
    <w:rsid w:val="000A4E0E"/>
    <w:rsid w:val="000A58E4"/>
    <w:rsid w:val="000B1825"/>
    <w:rsid w:val="000B240D"/>
    <w:rsid w:val="000B2A39"/>
    <w:rsid w:val="000B3A68"/>
    <w:rsid w:val="000B5223"/>
    <w:rsid w:val="000B769B"/>
    <w:rsid w:val="000C02F2"/>
    <w:rsid w:val="000C053C"/>
    <w:rsid w:val="000C2841"/>
    <w:rsid w:val="000C3008"/>
    <w:rsid w:val="000C35D2"/>
    <w:rsid w:val="000C371A"/>
    <w:rsid w:val="000C3D4E"/>
    <w:rsid w:val="000C5295"/>
    <w:rsid w:val="000C5B7B"/>
    <w:rsid w:val="000C5BAA"/>
    <w:rsid w:val="000C6B0B"/>
    <w:rsid w:val="000D020C"/>
    <w:rsid w:val="000D2810"/>
    <w:rsid w:val="000D4E86"/>
    <w:rsid w:val="000E01BE"/>
    <w:rsid w:val="000E15BB"/>
    <w:rsid w:val="000E21A9"/>
    <w:rsid w:val="000E48E3"/>
    <w:rsid w:val="000E4CBE"/>
    <w:rsid w:val="000E556A"/>
    <w:rsid w:val="000E7C95"/>
    <w:rsid w:val="000F185B"/>
    <w:rsid w:val="000F3E77"/>
    <w:rsid w:val="000F4580"/>
    <w:rsid w:val="000F5442"/>
    <w:rsid w:val="00100B90"/>
    <w:rsid w:val="0010403E"/>
    <w:rsid w:val="00104560"/>
    <w:rsid w:val="00104CF1"/>
    <w:rsid w:val="001056F5"/>
    <w:rsid w:val="0011457C"/>
    <w:rsid w:val="00116C3C"/>
    <w:rsid w:val="001172B4"/>
    <w:rsid w:val="00121226"/>
    <w:rsid w:val="001260E1"/>
    <w:rsid w:val="00126180"/>
    <w:rsid w:val="001267DD"/>
    <w:rsid w:val="00126A09"/>
    <w:rsid w:val="00127152"/>
    <w:rsid w:val="00127EFA"/>
    <w:rsid w:val="001316F0"/>
    <w:rsid w:val="00134456"/>
    <w:rsid w:val="001344C8"/>
    <w:rsid w:val="00140D42"/>
    <w:rsid w:val="00142BF7"/>
    <w:rsid w:val="001433B2"/>
    <w:rsid w:val="00145934"/>
    <w:rsid w:val="0014617A"/>
    <w:rsid w:val="00146A1A"/>
    <w:rsid w:val="00147DCB"/>
    <w:rsid w:val="00150867"/>
    <w:rsid w:val="001513D9"/>
    <w:rsid w:val="001528D4"/>
    <w:rsid w:val="00152B7D"/>
    <w:rsid w:val="0015326F"/>
    <w:rsid w:val="00153957"/>
    <w:rsid w:val="00153A79"/>
    <w:rsid w:val="001544B6"/>
    <w:rsid w:val="00154710"/>
    <w:rsid w:val="00155071"/>
    <w:rsid w:val="00160128"/>
    <w:rsid w:val="00160B60"/>
    <w:rsid w:val="00160E7A"/>
    <w:rsid w:val="00166555"/>
    <w:rsid w:val="001668E6"/>
    <w:rsid w:val="001672A2"/>
    <w:rsid w:val="00172420"/>
    <w:rsid w:val="0017255A"/>
    <w:rsid w:val="001734AA"/>
    <w:rsid w:val="00175CE9"/>
    <w:rsid w:val="00175FA5"/>
    <w:rsid w:val="00177B4B"/>
    <w:rsid w:val="00177F2F"/>
    <w:rsid w:val="0018062F"/>
    <w:rsid w:val="001807D4"/>
    <w:rsid w:val="00181524"/>
    <w:rsid w:val="001822A9"/>
    <w:rsid w:val="00183834"/>
    <w:rsid w:val="00183DA5"/>
    <w:rsid w:val="00184BEA"/>
    <w:rsid w:val="001857B1"/>
    <w:rsid w:val="00186127"/>
    <w:rsid w:val="00187163"/>
    <w:rsid w:val="00187EA2"/>
    <w:rsid w:val="001906D5"/>
    <w:rsid w:val="001906DF"/>
    <w:rsid w:val="00190DD2"/>
    <w:rsid w:val="001932FA"/>
    <w:rsid w:val="001936E9"/>
    <w:rsid w:val="00197B3C"/>
    <w:rsid w:val="001A1270"/>
    <w:rsid w:val="001A2E25"/>
    <w:rsid w:val="001A5A1C"/>
    <w:rsid w:val="001B01FA"/>
    <w:rsid w:val="001B1532"/>
    <w:rsid w:val="001B17AD"/>
    <w:rsid w:val="001B27F7"/>
    <w:rsid w:val="001B2933"/>
    <w:rsid w:val="001B797E"/>
    <w:rsid w:val="001C0E93"/>
    <w:rsid w:val="001C1202"/>
    <w:rsid w:val="001C157E"/>
    <w:rsid w:val="001C2455"/>
    <w:rsid w:val="001C3EF8"/>
    <w:rsid w:val="001C488C"/>
    <w:rsid w:val="001C4964"/>
    <w:rsid w:val="001C5DF1"/>
    <w:rsid w:val="001C5FF6"/>
    <w:rsid w:val="001C6077"/>
    <w:rsid w:val="001C62E6"/>
    <w:rsid w:val="001C79CD"/>
    <w:rsid w:val="001D05A2"/>
    <w:rsid w:val="001D06B3"/>
    <w:rsid w:val="001D10A7"/>
    <w:rsid w:val="001D1F24"/>
    <w:rsid w:val="001D20C8"/>
    <w:rsid w:val="001D5CC8"/>
    <w:rsid w:val="001D6DAF"/>
    <w:rsid w:val="001D7865"/>
    <w:rsid w:val="001E0920"/>
    <w:rsid w:val="001E1510"/>
    <w:rsid w:val="001E4ED5"/>
    <w:rsid w:val="001E51B4"/>
    <w:rsid w:val="001E7D64"/>
    <w:rsid w:val="001F1BFA"/>
    <w:rsid w:val="001F6FE2"/>
    <w:rsid w:val="001F7312"/>
    <w:rsid w:val="001F74C7"/>
    <w:rsid w:val="002022A8"/>
    <w:rsid w:val="0020234D"/>
    <w:rsid w:val="002026A9"/>
    <w:rsid w:val="00202750"/>
    <w:rsid w:val="00202F3A"/>
    <w:rsid w:val="00204489"/>
    <w:rsid w:val="00204B2F"/>
    <w:rsid w:val="0020609E"/>
    <w:rsid w:val="00206255"/>
    <w:rsid w:val="00207F30"/>
    <w:rsid w:val="00212375"/>
    <w:rsid w:val="00212623"/>
    <w:rsid w:val="00213297"/>
    <w:rsid w:val="00213FBC"/>
    <w:rsid w:val="0021521F"/>
    <w:rsid w:val="00215628"/>
    <w:rsid w:val="002231C8"/>
    <w:rsid w:val="00225134"/>
    <w:rsid w:val="00230A83"/>
    <w:rsid w:val="00230AB3"/>
    <w:rsid w:val="00232D31"/>
    <w:rsid w:val="00232FA7"/>
    <w:rsid w:val="00233036"/>
    <w:rsid w:val="0023374A"/>
    <w:rsid w:val="00235079"/>
    <w:rsid w:val="0023601A"/>
    <w:rsid w:val="00236F03"/>
    <w:rsid w:val="0023751B"/>
    <w:rsid w:val="00240336"/>
    <w:rsid w:val="00240D30"/>
    <w:rsid w:val="00241D6A"/>
    <w:rsid w:val="00242F8E"/>
    <w:rsid w:val="0024525B"/>
    <w:rsid w:val="002452BB"/>
    <w:rsid w:val="002463AF"/>
    <w:rsid w:val="00246D4E"/>
    <w:rsid w:val="0024721E"/>
    <w:rsid w:val="00250DA8"/>
    <w:rsid w:val="00252C25"/>
    <w:rsid w:val="0025312C"/>
    <w:rsid w:val="00253AF7"/>
    <w:rsid w:val="00254812"/>
    <w:rsid w:val="00254BF7"/>
    <w:rsid w:val="0026085F"/>
    <w:rsid w:val="002608FC"/>
    <w:rsid w:val="0026174E"/>
    <w:rsid w:val="00261F80"/>
    <w:rsid w:val="00262FE0"/>
    <w:rsid w:val="00263FBB"/>
    <w:rsid w:val="00264659"/>
    <w:rsid w:val="00265005"/>
    <w:rsid w:val="00265CE5"/>
    <w:rsid w:val="00265DA0"/>
    <w:rsid w:val="00265FE2"/>
    <w:rsid w:val="00270EC7"/>
    <w:rsid w:val="00271498"/>
    <w:rsid w:val="0027152B"/>
    <w:rsid w:val="00271AF6"/>
    <w:rsid w:val="00272DBA"/>
    <w:rsid w:val="00272F24"/>
    <w:rsid w:val="0027319B"/>
    <w:rsid w:val="0027436B"/>
    <w:rsid w:val="00275170"/>
    <w:rsid w:val="00275544"/>
    <w:rsid w:val="00275C48"/>
    <w:rsid w:val="002764E7"/>
    <w:rsid w:val="0027695E"/>
    <w:rsid w:val="00281AB6"/>
    <w:rsid w:val="00281E39"/>
    <w:rsid w:val="002823D5"/>
    <w:rsid w:val="00290798"/>
    <w:rsid w:val="00290A8D"/>
    <w:rsid w:val="002924AD"/>
    <w:rsid w:val="00292BF0"/>
    <w:rsid w:val="00294129"/>
    <w:rsid w:val="00295A83"/>
    <w:rsid w:val="00297101"/>
    <w:rsid w:val="00297B36"/>
    <w:rsid w:val="00297D11"/>
    <w:rsid w:val="002A0247"/>
    <w:rsid w:val="002A049F"/>
    <w:rsid w:val="002A0880"/>
    <w:rsid w:val="002A0F13"/>
    <w:rsid w:val="002A2839"/>
    <w:rsid w:val="002A2AA3"/>
    <w:rsid w:val="002A7FEA"/>
    <w:rsid w:val="002B3EB7"/>
    <w:rsid w:val="002B466B"/>
    <w:rsid w:val="002B4908"/>
    <w:rsid w:val="002B644E"/>
    <w:rsid w:val="002B6E5C"/>
    <w:rsid w:val="002B6ECA"/>
    <w:rsid w:val="002B7621"/>
    <w:rsid w:val="002C4373"/>
    <w:rsid w:val="002C548B"/>
    <w:rsid w:val="002C57F0"/>
    <w:rsid w:val="002C6D48"/>
    <w:rsid w:val="002C7C7C"/>
    <w:rsid w:val="002D06FC"/>
    <w:rsid w:val="002D1AD0"/>
    <w:rsid w:val="002D1F01"/>
    <w:rsid w:val="002D2D31"/>
    <w:rsid w:val="002D2ED7"/>
    <w:rsid w:val="002D2F03"/>
    <w:rsid w:val="002D49DF"/>
    <w:rsid w:val="002D5060"/>
    <w:rsid w:val="002D66B0"/>
    <w:rsid w:val="002D70C5"/>
    <w:rsid w:val="002E19F8"/>
    <w:rsid w:val="002F3120"/>
    <w:rsid w:val="002F443B"/>
    <w:rsid w:val="002F4C88"/>
    <w:rsid w:val="002F4CAB"/>
    <w:rsid w:val="002F5A37"/>
    <w:rsid w:val="002F615E"/>
    <w:rsid w:val="003008ED"/>
    <w:rsid w:val="00301D3B"/>
    <w:rsid w:val="00302C91"/>
    <w:rsid w:val="003045D2"/>
    <w:rsid w:val="00305BF1"/>
    <w:rsid w:val="00307481"/>
    <w:rsid w:val="00307E5B"/>
    <w:rsid w:val="0031002E"/>
    <w:rsid w:val="00310353"/>
    <w:rsid w:val="003108FF"/>
    <w:rsid w:val="003138C5"/>
    <w:rsid w:val="00313B9B"/>
    <w:rsid w:val="003140AD"/>
    <w:rsid w:val="003156A2"/>
    <w:rsid w:val="00315CA8"/>
    <w:rsid w:val="0032070F"/>
    <w:rsid w:val="00321925"/>
    <w:rsid w:val="00321ECC"/>
    <w:rsid w:val="0032498A"/>
    <w:rsid w:val="00324E66"/>
    <w:rsid w:val="00325280"/>
    <w:rsid w:val="00327788"/>
    <w:rsid w:val="00330154"/>
    <w:rsid w:val="00330C49"/>
    <w:rsid w:val="00330CBF"/>
    <w:rsid w:val="0033187D"/>
    <w:rsid w:val="0033277C"/>
    <w:rsid w:val="003337F4"/>
    <w:rsid w:val="00334153"/>
    <w:rsid w:val="00337568"/>
    <w:rsid w:val="003415FE"/>
    <w:rsid w:val="00342A5A"/>
    <w:rsid w:val="00342FF6"/>
    <w:rsid w:val="0034398F"/>
    <w:rsid w:val="00344963"/>
    <w:rsid w:val="00344C59"/>
    <w:rsid w:val="00344D43"/>
    <w:rsid w:val="00345BBE"/>
    <w:rsid w:val="003467B4"/>
    <w:rsid w:val="00346FC2"/>
    <w:rsid w:val="003475A0"/>
    <w:rsid w:val="00350476"/>
    <w:rsid w:val="00350B50"/>
    <w:rsid w:val="003527E7"/>
    <w:rsid w:val="0035292D"/>
    <w:rsid w:val="00352D4B"/>
    <w:rsid w:val="0035356A"/>
    <w:rsid w:val="0035445A"/>
    <w:rsid w:val="00356350"/>
    <w:rsid w:val="00356514"/>
    <w:rsid w:val="00357C22"/>
    <w:rsid w:val="00360710"/>
    <w:rsid w:val="00361D3A"/>
    <w:rsid w:val="003646BD"/>
    <w:rsid w:val="00365246"/>
    <w:rsid w:val="00365CC8"/>
    <w:rsid w:val="0036634D"/>
    <w:rsid w:val="0036744E"/>
    <w:rsid w:val="003676A4"/>
    <w:rsid w:val="00367DE2"/>
    <w:rsid w:val="003713E9"/>
    <w:rsid w:val="00371B26"/>
    <w:rsid w:val="00371D2C"/>
    <w:rsid w:val="00381086"/>
    <w:rsid w:val="0038110B"/>
    <w:rsid w:val="003811EE"/>
    <w:rsid w:val="00383D8C"/>
    <w:rsid w:val="003844C1"/>
    <w:rsid w:val="00385763"/>
    <w:rsid w:val="003858F4"/>
    <w:rsid w:val="00390408"/>
    <w:rsid w:val="0039074C"/>
    <w:rsid w:val="00390935"/>
    <w:rsid w:val="00394197"/>
    <w:rsid w:val="0039546D"/>
    <w:rsid w:val="003A17F1"/>
    <w:rsid w:val="003A227D"/>
    <w:rsid w:val="003A2E59"/>
    <w:rsid w:val="003A2E9F"/>
    <w:rsid w:val="003A4272"/>
    <w:rsid w:val="003A4773"/>
    <w:rsid w:val="003A6230"/>
    <w:rsid w:val="003A67AE"/>
    <w:rsid w:val="003A684C"/>
    <w:rsid w:val="003B021A"/>
    <w:rsid w:val="003B2460"/>
    <w:rsid w:val="003B2FD7"/>
    <w:rsid w:val="003B4CC5"/>
    <w:rsid w:val="003B549F"/>
    <w:rsid w:val="003B566E"/>
    <w:rsid w:val="003C05CC"/>
    <w:rsid w:val="003C13A1"/>
    <w:rsid w:val="003C2427"/>
    <w:rsid w:val="003C2CC6"/>
    <w:rsid w:val="003C2D16"/>
    <w:rsid w:val="003C3ADD"/>
    <w:rsid w:val="003C3FEE"/>
    <w:rsid w:val="003C5AF9"/>
    <w:rsid w:val="003C6699"/>
    <w:rsid w:val="003C6DA2"/>
    <w:rsid w:val="003C6EF7"/>
    <w:rsid w:val="003C76DB"/>
    <w:rsid w:val="003D0A33"/>
    <w:rsid w:val="003D2CFD"/>
    <w:rsid w:val="003D46AF"/>
    <w:rsid w:val="003D6C0E"/>
    <w:rsid w:val="003D7E7A"/>
    <w:rsid w:val="003E01F5"/>
    <w:rsid w:val="003E045F"/>
    <w:rsid w:val="003E0CC1"/>
    <w:rsid w:val="003E1C69"/>
    <w:rsid w:val="003E1F7F"/>
    <w:rsid w:val="003E211B"/>
    <w:rsid w:val="003E221E"/>
    <w:rsid w:val="003E4299"/>
    <w:rsid w:val="003E63A6"/>
    <w:rsid w:val="003E72CD"/>
    <w:rsid w:val="003F04B3"/>
    <w:rsid w:val="003F0881"/>
    <w:rsid w:val="003F40B8"/>
    <w:rsid w:val="003F4420"/>
    <w:rsid w:val="003F5B92"/>
    <w:rsid w:val="003F5FA4"/>
    <w:rsid w:val="003F6771"/>
    <w:rsid w:val="003F6837"/>
    <w:rsid w:val="003F6C45"/>
    <w:rsid w:val="00400565"/>
    <w:rsid w:val="00401204"/>
    <w:rsid w:val="00403722"/>
    <w:rsid w:val="00404092"/>
    <w:rsid w:val="00404A8C"/>
    <w:rsid w:val="0040510E"/>
    <w:rsid w:val="00405396"/>
    <w:rsid w:val="00406474"/>
    <w:rsid w:val="004066DE"/>
    <w:rsid w:val="0041064A"/>
    <w:rsid w:val="00411DAB"/>
    <w:rsid w:val="0041215D"/>
    <w:rsid w:val="00413B29"/>
    <w:rsid w:val="004168ED"/>
    <w:rsid w:val="00416E9E"/>
    <w:rsid w:val="0041700B"/>
    <w:rsid w:val="00420447"/>
    <w:rsid w:val="00420B0C"/>
    <w:rsid w:val="00422296"/>
    <w:rsid w:val="00425255"/>
    <w:rsid w:val="00425850"/>
    <w:rsid w:val="00427F80"/>
    <w:rsid w:val="00430C30"/>
    <w:rsid w:val="00431775"/>
    <w:rsid w:val="004317B6"/>
    <w:rsid w:val="00432C9C"/>
    <w:rsid w:val="0043343C"/>
    <w:rsid w:val="004348B7"/>
    <w:rsid w:val="004402EB"/>
    <w:rsid w:val="00440535"/>
    <w:rsid w:val="00442DF0"/>
    <w:rsid w:val="00443E9A"/>
    <w:rsid w:val="004443AF"/>
    <w:rsid w:val="0044520C"/>
    <w:rsid w:val="004453A1"/>
    <w:rsid w:val="004455A3"/>
    <w:rsid w:val="0044650F"/>
    <w:rsid w:val="00450359"/>
    <w:rsid w:val="00450522"/>
    <w:rsid w:val="00451087"/>
    <w:rsid w:val="00451CBA"/>
    <w:rsid w:val="004534C5"/>
    <w:rsid w:val="00454577"/>
    <w:rsid w:val="0045574F"/>
    <w:rsid w:val="004606C9"/>
    <w:rsid w:val="00461D5C"/>
    <w:rsid w:val="00462406"/>
    <w:rsid w:val="00462E92"/>
    <w:rsid w:val="00464955"/>
    <w:rsid w:val="00466FC2"/>
    <w:rsid w:val="00467B4C"/>
    <w:rsid w:val="004701FE"/>
    <w:rsid w:val="0047164A"/>
    <w:rsid w:val="00472C4C"/>
    <w:rsid w:val="0047379F"/>
    <w:rsid w:val="00473EAA"/>
    <w:rsid w:val="00474E72"/>
    <w:rsid w:val="004751CF"/>
    <w:rsid w:val="0047573E"/>
    <w:rsid w:val="00476729"/>
    <w:rsid w:val="0047731A"/>
    <w:rsid w:val="00477748"/>
    <w:rsid w:val="00481ADD"/>
    <w:rsid w:val="0048361D"/>
    <w:rsid w:val="00484F17"/>
    <w:rsid w:val="00485115"/>
    <w:rsid w:val="00485DAB"/>
    <w:rsid w:val="00486959"/>
    <w:rsid w:val="004874EA"/>
    <w:rsid w:val="00490468"/>
    <w:rsid w:val="0049097D"/>
    <w:rsid w:val="00492075"/>
    <w:rsid w:val="00493133"/>
    <w:rsid w:val="0049378C"/>
    <w:rsid w:val="0049472E"/>
    <w:rsid w:val="00494DBA"/>
    <w:rsid w:val="0049550C"/>
    <w:rsid w:val="00497FBB"/>
    <w:rsid w:val="004A0672"/>
    <w:rsid w:val="004A0DEE"/>
    <w:rsid w:val="004A1E59"/>
    <w:rsid w:val="004A1EFE"/>
    <w:rsid w:val="004A3F33"/>
    <w:rsid w:val="004A41AF"/>
    <w:rsid w:val="004A49B2"/>
    <w:rsid w:val="004A6E11"/>
    <w:rsid w:val="004A751E"/>
    <w:rsid w:val="004B011B"/>
    <w:rsid w:val="004B2163"/>
    <w:rsid w:val="004B2268"/>
    <w:rsid w:val="004B34FF"/>
    <w:rsid w:val="004B4EE5"/>
    <w:rsid w:val="004B699E"/>
    <w:rsid w:val="004C058B"/>
    <w:rsid w:val="004C0ADA"/>
    <w:rsid w:val="004C1EA2"/>
    <w:rsid w:val="004C29A4"/>
    <w:rsid w:val="004C395B"/>
    <w:rsid w:val="004C47D3"/>
    <w:rsid w:val="004C4C0B"/>
    <w:rsid w:val="004C5158"/>
    <w:rsid w:val="004C688F"/>
    <w:rsid w:val="004C7CC9"/>
    <w:rsid w:val="004D1391"/>
    <w:rsid w:val="004D148B"/>
    <w:rsid w:val="004D282A"/>
    <w:rsid w:val="004D42EB"/>
    <w:rsid w:val="004D4712"/>
    <w:rsid w:val="004D5095"/>
    <w:rsid w:val="004D5BE4"/>
    <w:rsid w:val="004D7DCE"/>
    <w:rsid w:val="004E1014"/>
    <w:rsid w:val="004E1FAF"/>
    <w:rsid w:val="004E3ECC"/>
    <w:rsid w:val="004E4411"/>
    <w:rsid w:val="004E4CB5"/>
    <w:rsid w:val="004E69B3"/>
    <w:rsid w:val="004E7ED2"/>
    <w:rsid w:val="004F0782"/>
    <w:rsid w:val="004F0F58"/>
    <w:rsid w:val="004F2EEF"/>
    <w:rsid w:val="004F3DE5"/>
    <w:rsid w:val="004F4833"/>
    <w:rsid w:val="004F6B2C"/>
    <w:rsid w:val="004F78F5"/>
    <w:rsid w:val="005018A5"/>
    <w:rsid w:val="00501C63"/>
    <w:rsid w:val="00502B78"/>
    <w:rsid w:val="00504298"/>
    <w:rsid w:val="00510EBB"/>
    <w:rsid w:val="00511BC5"/>
    <w:rsid w:val="00514102"/>
    <w:rsid w:val="00515DD2"/>
    <w:rsid w:val="00520178"/>
    <w:rsid w:val="005201F9"/>
    <w:rsid w:val="00520C4C"/>
    <w:rsid w:val="00521384"/>
    <w:rsid w:val="00522A7A"/>
    <w:rsid w:val="0052370B"/>
    <w:rsid w:val="00523D63"/>
    <w:rsid w:val="00523F1E"/>
    <w:rsid w:val="0052409A"/>
    <w:rsid w:val="00524112"/>
    <w:rsid w:val="00524D67"/>
    <w:rsid w:val="00525925"/>
    <w:rsid w:val="0052601E"/>
    <w:rsid w:val="00526272"/>
    <w:rsid w:val="00531071"/>
    <w:rsid w:val="0053153A"/>
    <w:rsid w:val="00535FD8"/>
    <w:rsid w:val="00537D58"/>
    <w:rsid w:val="00540077"/>
    <w:rsid w:val="00540459"/>
    <w:rsid w:val="00540BB0"/>
    <w:rsid w:val="00540E81"/>
    <w:rsid w:val="00542923"/>
    <w:rsid w:val="0054484F"/>
    <w:rsid w:val="00545033"/>
    <w:rsid w:val="0054547C"/>
    <w:rsid w:val="00545FA6"/>
    <w:rsid w:val="00546319"/>
    <w:rsid w:val="00547EC1"/>
    <w:rsid w:val="00550A5F"/>
    <w:rsid w:val="00552342"/>
    <w:rsid w:val="00553CCD"/>
    <w:rsid w:val="005549EF"/>
    <w:rsid w:val="005553E5"/>
    <w:rsid w:val="00556D4F"/>
    <w:rsid w:val="00557C98"/>
    <w:rsid w:val="005641FA"/>
    <w:rsid w:val="00567DB3"/>
    <w:rsid w:val="00570054"/>
    <w:rsid w:val="00570FAB"/>
    <w:rsid w:val="00571CA7"/>
    <w:rsid w:val="00572593"/>
    <w:rsid w:val="005729E5"/>
    <w:rsid w:val="00572C32"/>
    <w:rsid w:val="00572D21"/>
    <w:rsid w:val="00574E56"/>
    <w:rsid w:val="00580745"/>
    <w:rsid w:val="0058076F"/>
    <w:rsid w:val="00580E7C"/>
    <w:rsid w:val="00581BB3"/>
    <w:rsid w:val="005828AC"/>
    <w:rsid w:val="00583820"/>
    <w:rsid w:val="00583A2E"/>
    <w:rsid w:val="005845E9"/>
    <w:rsid w:val="005848B4"/>
    <w:rsid w:val="005867F0"/>
    <w:rsid w:val="00587755"/>
    <w:rsid w:val="00591270"/>
    <w:rsid w:val="0059160C"/>
    <w:rsid w:val="00592A65"/>
    <w:rsid w:val="00594A4A"/>
    <w:rsid w:val="00594D03"/>
    <w:rsid w:val="00595001"/>
    <w:rsid w:val="00596DFE"/>
    <w:rsid w:val="005975B0"/>
    <w:rsid w:val="005A33DA"/>
    <w:rsid w:val="005A3F95"/>
    <w:rsid w:val="005B1F41"/>
    <w:rsid w:val="005B3808"/>
    <w:rsid w:val="005B3FFB"/>
    <w:rsid w:val="005B45D2"/>
    <w:rsid w:val="005B4CDD"/>
    <w:rsid w:val="005B6E22"/>
    <w:rsid w:val="005B7776"/>
    <w:rsid w:val="005C068B"/>
    <w:rsid w:val="005C2254"/>
    <w:rsid w:val="005C3028"/>
    <w:rsid w:val="005C3597"/>
    <w:rsid w:val="005C6DC9"/>
    <w:rsid w:val="005C77B9"/>
    <w:rsid w:val="005D01CB"/>
    <w:rsid w:val="005D18FB"/>
    <w:rsid w:val="005D5B77"/>
    <w:rsid w:val="005D74BC"/>
    <w:rsid w:val="005D7691"/>
    <w:rsid w:val="005E59BF"/>
    <w:rsid w:val="005E6B3F"/>
    <w:rsid w:val="005E6FC8"/>
    <w:rsid w:val="005E7D67"/>
    <w:rsid w:val="005F1C35"/>
    <w:rsid w:val="005F3290"/>
    <w:rsid w:val="005F34E7"/>
    <w:rsid w:val="005F4FE5"/>
    <w:rsid w:val="005F65E0"/>
    <w:rsid w:val="005F7760"/>
    <w:rsid w:val="006000A2"/>
    <w:rsid w:val="00600582"/>
    <w:rsid w:val="006016DE"/>
    <w:rsid w:val="0060189D"/>
    <w:rsid w:val="006027CF"/>
    <w:rsid w:val="00602E9F"/>
    <w:rsid w:val="0060339F"/>
    <w:rsid w:val="0060356F"/>
    <w:rsid w:val="00604167"/>
    <w:rsid w:val="0060639F"/>
    <w:rsid w:val="006108A1"/>
    <w:rsid w:val="00612E60"/>
    <w:rsid w:val="00613554"/>
    <w:rsid w:val="006153B1"/>
    <w:rsid w:val="00615866"/>
    <w:rsid w:val="00616043"/>
    <w:rsid w:val="00616787"/>
    <w:rsid w:val="00627DC6"/>
    <w:rsid w:val="006307EF"/>
    <w:rsid w:val="00630919"/>
    <w:rsid w:val="0063423C"/>
    <w:rsid w:val="00635190"/>
    <w:rsid w:val="00637038"/>
    <w:rsid w:val="0064090C"/>
    <w:rsid w:val="006415BE"/>
    <w:rsid w:val="0064185A"/>
    <w:rsid w:val="00642E9C"/>
    <w:rsid w:val="006442A2"/>
    <w:rsid w:val="00644E61"/>
    <w:rsid w:val="00647818"/>
    <w:rsid w:val="00647DE4"/>
    <w:rsid w:val="00651866"/>
    <w:rsid w:val="00651C5D"/>
    <w:rsid w:val="00652B6B"/>
    <w:rsid w:val="006533D0"/>
    <w:rsid w:val="00655D20"/>
    <w:rsid w:val="00656716"/>
    <w:rsid w:val="006606FB"/>
    <w:rsid w:val="00665138"/>
    <w:rsid w:val="00665558"/>
    <w:rsid w:val="00666932"/>
    <w:rsid w:val="00667193"/>
    <w:rsid w:val="00671F7C"/>
    <w:rsid w:val="00673A90"/>
    <w:rsid w:val="00674922"/>
    <w:rsid w:val="00676EBC"/>
    <w:rsid w:val="006770BA"/>
    <w:rsid w:val="00682B34"/>
    <w:rsid w:val="00683301"/>
    <w:rsid w:val="00683A0A"/>
    <w:rsid w:val="006849AD"/>
    <w:rsid w:val="00686BC3"/>
    <w:rsid w:val="0069009E"/>
    <w:rsid w:val="00691030"/>
    <w:rsid w:val="00691CEB"/>
    <w:rsid w:val="00692879"/>
    <w:rsid w:val="006A3121"/>
    <w:rsid w:val="006A3BD3"/>
    <w:rsid w:val="006A7BA4"/>
    <w:rsid w:val="006B1DAB"/>
    <w:rsid w:val="006B20C8"/>
    <w:rsid w:val="006B2E91"/>
    <w:rsid w:val="006B3CD8"/>
    <w:rsid w:val="006B4076"/>
    <w:rsid w:val="006B451F"/>
    <w:rsid w:val="006B5267"/>
    <w:rsid w:val="006B53AB"/>
    <w:rsid w:val="006C02EA"/>
    <w:rsid w:val="006C15D3"/>
    <w:rsid w:val="006C24FF"/>
    <w:rsid w:val="006C2D70"/>
    <w:rsid w:val="006C322E"/>
    <w:rsid w:val="006C65F9"/>
    <w:rsid w:val="006C74C0"/>
    <w:rsid w:val="006C76A1"/>
    <w:rsid w:val="006C7862"/>
    <w:rsid w:val="006C7870"/>
    <w:rsid w:val="006D013C"/>
    <w:rsid w:val="006D1852"/>
    <w:rsid w:val="006D1B67"/>
    <w:rsid w:val="006D2685"/>
    <w:rsid w:val="006D29EB"/>
    <w:rsid w:val="006D58FD"/>
    <w:rsid w:val="006D6BA4"/>
    <w:rsid w:val="006D74E3"/>
    <w:rsid w:val="006E21D8"/>
    <w:rsid w:val="006E2DFB"/>
    <w:rsid w:val="006F223D"/>
    <w:rsid w:val="006F4126"/>
    <w:rsid w:val="006F62C3"/>
    <w:rsid w:val="006F64EB"/>
    <w:rsid w:val="006F6A35"/>
    <w:rsid w:val="006F7172"/>
    <w:rsid w:val="006F76A3"/>
    <w:rsid w:val="006F76DE"/>
    <w:rsid w:val="0070015E"/>
    <w:rsid w:val="00700B10"/>
    <w:rsid w:val="0070166B"/>
    <w:rsid w:val="007021B3"/>
    <w:rsid w:val="007046BB"/>
    <w:rsid w:val="00705457"/>
    <w:rsid w:val="00707BF2"/>
    <w:rsid w:val="00711824"/>
    <w:rsid w:val="007134BF"/>
    <w:rsid w:val="00713F24"/>
    <w:rsid w:val="007144C5"/>
    <w:rsid w:val="0071608A"/>
    <w:rsid w:val="00716F48"/>
    <w:rsid w:val="0072082A"/>
    <w:rsid w:val="00721BED"/>
    <w:rsid w:val="007240E7"/>
    <w:rsid w:val="00724A7B"/>
    <w:rsid w:val="007252C8"/>
    <w:rsid w:val="007264EB"/>
    <w:rsid w:val="00730BCA"/>
    <w:rsid w:val="0073273F"/>
    <w:rsid w:val="00732827"/>
    <w:rsid w:val="00732FBA"/>
    <w:rsid w:val="00735EF8"/>
    <w:rsid w:val="00736FB8"/>
    <w:rsid w:val="0073791F"/>
    <w:rsid w:val="00741742"/>
    <w:rsid w:val="00743C3F"/>
    <w:rsid w:val="00743E8C"/>
    <w:rsid w:val="00745032"/>
    <w:rsid w:val="007468AC"/>
    <w:rsid w:val="0075062B"/>
    <w:rsid w:val="00750D12"/>
    <w:rsid w:val="007520FE"/>
    <w:rsid w:val="0075250A"/>
    <w:rsid w:val="00754B64"/>
    <w:rsid w:val="007557ED"/>
    <w:rsid w:val="00755B7A"/>
    <w:rsid w:val="00756458"/>
    <w:rsid w:val="0075739E"/>
    <w:rsid w:val="00757E51"/>
    <w:rsid w:val="00757EAF"/>
    <w:rsid w:val="00757EEA"/>
    <w:rsid w:val="00757FA9"/>
    <w:rsid w:val="00760499"/>
    <w:rsid w:val="00761E24"/>
    <w:rsid w:val="007622F3"/>
    <w:rsid w:val="007623AE"/>
    <w:rsid w:val="00762402"/>
    <w:rsid w:val="007626A7"/>
    <w:rsid w:val="007629A5"/>
    <w:rsid w:val="00763D3D"/>
    <w:rsid w:val="00766F84"/>
    <w:rsid w:val="0076737F"/>
    <w:rsid w:val="007674AA"/>
    <w:rsid w:val="007679B8"/>
    <w:rsid w:val="00772786"/>
    <w:rsid w:val="00773B6E"/>
    <w:rsid w:val="007745B9"/>
    <w:rsid w:val="007753B8"/>
    <w:rsid w:val="007763CA"/>
    <w:rsid w:val="007765A9"/>
    <w:rsid w:val="0077662A"/>
    <w:rsid w:val="00781737"/>
    <w:rsid w:val="00782ABD"/>
    <w:rsid w:val="007830F5"/>
    <w:rsid w:val="007839DE"/>
    <w:rsid w:val="0078412D"/>
    <w:rsid w:val="00784D35"/>
    <w:rsid w:val="007852DE"/>
    <w:rsid w:val="00787557"/>
    <w:rsid w:val="00790DB1"/>
    <w:rsid w:val="00791012"/>
    <w:rsid w:val="007914C7"/>
    <w:rsid w:val="00791EFD"/>
    <w:rsid w:val="00792CA9"/>
    <w:rsid w:val="00793512"/>
    <w:rsid w:val="007935AA"/>
    <w:rsid w:val="007935F6"/>
    <w:rsid w:val="00793A98"/>
    <w:rsid w:val="00793DEA"/>
    <w:rsid w:val="00794482"/>
    <w:rsid w:val="0079481A"/>
    <w:rsid w:val="007971FC"/>
    <w:rsid w:val="0079748C"/>
    <w:rsid w:val="00797DDC"/>
    <w:rsid w:val="007A0A1E"/>
    <w:rsid w:val="007A1DDE"/>
    <w:rsid w:val="007A2907"/>
    <w:rsid w:val="007A564C"/>
    <w:rsid w:val="007A5D57"/>
    <w:rsid w:val="007B2ADD"/>
    <w:rsid w:val="007B48D8"/>
    <w:rsid w:val="007B5592"/>
    <w:rsid w:val="007B7734"/>
    <w:rsid w:val="007C0936"/>
    <w:rsid w:val="007C2685"/>
    <w:rsid w:val="007C4E1D"/>
    <w:rsid w:val="007C51CA"/>
    <w:rsid w:val="007C5849"/>
    <w:rsid w:val="007C75FD"/>
    <w:rsid w:val="007D014F"/>
    <w:rsid w:val="007D2EB2"/>
    <w:rsid w:val="007D5F95"/>
    <w:rsid w:val="007D77BC"/>
    <w:rsid w:val="007E2D39"/>
    <w:rsid w:val="007E321B"/>
    <w:rsid w:val="007E4AF0"/>
    <w:rsid w:val="007E59CA"/>
    <w:rsid w:val="007E5C37"/>
    <w:rsid w:val="007E5C7D"/>
    <w:rsid w:val="007E5EBB"/>
    <w:rsid w:val="007E6B15"/>
    <w:rsid w:val="007F11E8"/>
    <w:rsid w:val="007F173F"/>
    <w:rsid w:val="007F1C12"/>
    <w:rsid w:val="007F222E"/>
    <w:rsid w:val="007F2AE2"/>
    <w:rsid w:val="007F4EF1"/>
    <w:rsid w:val="007F53A5"/>
    <w:rsid w:val="007F55CE"/>
    <w:rsid w:val="007F5688"/>
    <w:rsid w:val="007F653B"/>
    <w:rsid w:val="007F67DD"/>
    <w:rsid w:val="007F6FD6"/>
    <w:rsid w:val="0080089B"/>
    <w:rsid w:val="00800C73"/>
    <w:rsid w:val="00802691"/>
    <w:rsid w:val="008031CA"/>
    <w:rsid w:val="008035F9"/>
    <w:rsid w:val="00803A29"/>
    <w:rsid w:val="008046DB"/>
    <w:rsid w:val="008072CD"/>
    <w:rsid w:val="00807DDB"/>
    <w:rsid w:val="00810484"/>
    <w:rsid w:val="00811A8C"/>
    <w:rsid w:val="00812973"/>
    <w:rsid w:val="00813D84"/>
    <w:rsid w:val="00813EFF"/>
    <w:rsid w:val="00815F9F"/>
    <w:rsid w:val="00816FB4"/>
    <w:rsid w:val="00820CD9"/>
    <w:rsid w:val="00821560"/>
    <w:rsid w:val="008219C7"/>
    <w:rsid w:val="00821C7B"/>
    <w:rsid w:val="0082299C"/>
    <w:rsid w:val="00823F6C"/>
    <w:rsid w:val="00825406"/>
    <w:rsid w:val="008256FA"/>
    <w:rsid w:val="00825D80"/>
    <w:rsid w:val="008279E3"/>
    <w:rsid w:val="00830924"/>
    <w:rsid w:val="00831530"/>
    <w:rsid w:val="008318F2"/>
    <w:rsid w:val="00832083"/>
    <w:rsid w:val="008342F8"/>
    <w:rsid w:val="00835B0F"/>
    <w:rsid w:val="0083656E"/>
    <w:rsid w:val="008369EF"/>
    <w:rsid w:val="0084033F"/>
    <w:rsid w:val="0084087A"/>
    <w:rsid w:val="008419FA"/>
    <w:rsid w:val="0084342B"/>
    <w:rsid w:val="00845B68"/>
    <w:rsid w:val="00851013"/>
    <w:rsid w:val="00852127"/>
    <w:rsid w:val="00853529"/>
    <w:rsid w:val="00854DA7"/>
    <w:rsid w:val="00856E52"/>
    <w:rsid w:val="0085711C"/>
    <w:rsid w:val="00857CCD"/>
    <w:rsid w:val="00860032"/>
    <w:rsid w:val="008601E2"/>
    <w:rsid w:val="00861A03"/>
    <w:rsid w:val="00861D0D"/>
    <w:rsid w:val="008639C1"/>
    <w:rsid w:val="00864B4E"/>
    <w:rsid w:val="00865023"/>
    <w:rsid w:val="008656DF"/>
    <w:rsid w:val="00873E14"/>
    <w:rsid w:val="0087501A"/>
    <w:rsid w:val="008752ED"/>
    <w:rsid w:val="00875C0F"/>
    <w:rsid w:val="00876FEB"/>
    <w:rsid w:val="00877C77"/>
    <w:rsid w:val="0088032E"/>
    <w:rsid w:val="00880CF8"/>
    <w:rsid w:val="00882981"/>
    <w:rsid w:val="00883905"/>
    <w:rsid w:val="008840E2"/>
    <w:rsid w:val="008863F6"/>
    <w:rsid w:val="0088788D"/>
    <w:rsid w:val="00891746"/>
    <w:rsid w:val="00891CBD"/>
    <w:rsid w:val="0089239B"/>
    <w:rsid w:val="00894335"/>
    <w:rsid w:val="00896308"/>
    <w:rsid w:val="00897EB4"/>
    <w:rsid w:val="008A0C65"/>
    <w:rsid w:val="008A51F2"/>
    <w:rsid w:val="008A5755"/>
    <w:rsid w:val="008A7C12"/>
    <w:rsid w:val="008B05F2"/>
    <w:rsid w:val="008B0CAE"/>
    <w:rsid w:val="008B119C"/>
    <w:rsid w:val="008B2E1E"/>
    <w:rsid w:val="008B3D43"/>
    <w:rsid w:val="008B464B"/>
    <w:rsid w:val="008B4AA1"/>
    <w:rsid w:val="008B56CA"/>
    <w:rsid w:val="008B7650"/>
    <w:rsid w:val="008C0913"/>
    <w:rsid w:val="008C27DB"/>
    <w:rsid w:val="008C3188"/>
    <w:rsid w:val="008C468D"/>
    <w:rsid w:val="008C4BFB"/>
    <w:rsid w:val="008C4C98"/>
    <w:rsid w:val="008C6115"/>
    <w:rsid w:val="008C7345"/>
    <w:rsid w:val="008D129E"/>
    <w:rsid w:val="008D191B"/>
    <w:rsid w:val="008D1C92"/>
    <w:rsid w:val="008D1E66"/>
    <w:rsid w:val="008D26F2"/>
    <w:rsid w:val="008D3B54"/>
    <w:rsid w:val="008D3D71"/>
    <w:rsid w:val="008D4F2E"/>
    <w:rsid w:val="008D6FD7"/>
    <w:rsid w:val="008D7A6D"/>
    <w:rsid w:val="008E07EC"/>
    <w:rsid w:val="008E2432"/>
    <w:rsid w:val="008E25F4"/>
    <w:rsid w:val="008E3621"/>
    <w:rsid w:val="008E3B26"/>
    <w:rsid w:val="008E5CE6"/>
    <w:rsid w:val="008F5380"/>
    <w:rsid w:val="008F5999"/>
    <w:rsid w:val="008F5A54"/>
    <w:rsid w:val="008F72C2"/>
    <w:rsid w:val="008F7ECC"/>
    <w:rsid w:val="00900A5B"/>
    <w:rsid w:val="00900AA5"/>
    <w:rsid w:val="00901DC6"/>
    <w:rsid w:val="00901E99"/>
    <w:rsid w:val="009021AD"/>
    <w:rsid w:val="0090523A"/>
    <w:rsid w:val="0090731D"/>
    <w:rsid w:val="009073C6"/>
    <w:rsid w:val="009101DF"/>
    <w:rsid w:val="0091071C"/>
    <w:rsid w:val="00910D92"/>
    <w:rsid w:val="00911F11"/>
    <w:rsid w:val="00917FF8"/>
    <w:rsid w:val="0092089F"/>
    <w:rsid w:val="0092093C"/>
    <w:rsid w:val="00920DB9"/>
    <w:rsid w:val="00921E23"/>
    <w:rsid w:val="00923335"/>
    <w:rsid w:val="009248DA"/>
    <w:rsid w:val="009259E1"/>
    <w:rsid w:val="00925E8A"/>
    <w:rsid w:val="00926F10"/>
    <w:rsid w:val="009308C5"/>
    <w:rsid w:val="00931FC7"/>
    <w:rsid w:val="00933713"/>
    <w:rsid w:val="009347DB"/>
    <w:rsid w:val="00935BEA"/>
    <w:rsid w:val="00940E96"/>
    <w:rsid w:val="009414A7"/>
    <w:rsid w:val="00944026"/>
    <w:rsid w:val="00944553"/>
    <w:rsid w:val="00946076"/>
    <w:rsid w:val="00946D5E"/>
    <w:rsid w:val="00947FED"/>
    <w:rsid w:val="00950539"/>
    <w:rsid w:val="00952D0E"/>
    <w:rsid w:val="00953858"/>
    <w:rsid w:val="00956A2D"/>
    <w:rsid w:val="00956CD0"/>
    <w:rsid w:val="009574B2"/>
    <w:rsid w:val="00961C17"/>
    <w:rsid w:val="00961D3B"/>
    <w:rsid w:val="0096211D"/>
    <w:rsid w:val="00962AD5"/>
    <w:rsid w:val="0096306A"/>
    <w:rsid w:val="00964D12"/>
    <w:rsid w:val="00965669"/>
    <w:rsid w:val="00967493"/>
    <w:rsid w:val="00967AD8"/>
    <w:rsid w:val="00967B17"/>
    <w:rsid w:val="009716ED"/>
    <w:rsid w:val="009720CE"/>
    <w:rsid w:val="00972B44"/>
    <w:rsid w:val="0097594D"/>
    <w:rsid w:val="00975DEB"/>
    <w:rsid w:val="009764B4"/>
    <w:rsid w:val="009764BA"/>
    <w:rsid w:val="009774B8"/>
    <w:rsid w:val="009800EC"/>
    <w:rsid w:val="00981EAA"/>
    <w:rsid w:val="009826AE"/>
    <w:rsid w:val="0098319B"/>
    <w:rsid w:val="00983936"/>
    <w:rsid w:val="00983D94"/>
    <w:rsid w:val="00984DF8"/>
    <w:rsid w:val="009850EB"/>
    <w:rsid w:val="009853E9"/>
    <w:rsid w:val="00985418"/>
    <w:rsid w:val="00986209"/>
    <w:rsid w:val="00986DCC"/>
    <w:rsid w:val="00987213"/>
    <w:rsid w:val="0098739D"/>
    <w:rsid w:val="009916B4"/>
    <w:rsid w:val="009925EB"/>
    <w:rsid w:val="00993DF7"/>
    <w:rsid w:val="0099717E"/>
    <w:rsid w:val="009A142B"/>
    <w:rsid w:val="009A2CDE"/>
    <w:rsid w:val="009A2F2A"/>
    <w:rsid w:val="009A53FA"/>
    <w:rsid w:val="009A6399"/>
    <w:rsid w:val="009B083C"/>
    <w:rsid w:val="009B13CC"/>
    <w:rsid w:val="009B1C54"/>
    <w:rsid w:val="009B2869"/>
    <w:rsid w:val="009B2E50"/>
    <w:rsid w:val="009B3722"/>
    <w:rsid w:val="009B4585"/>
    <w:rsid w:val="009B556A"/>
    <w:rsid w:val="009B6998"/>
    <w:rsid w:val="009B6A71"/>
    <w:rsid w:val="009C0EDC"/>
    <w:rsid w:val="009C16AC"/>
    <w:rsid w:val="009C37F0"/>
    <w:rsid w:val="009C6303"/>
    <w:rsid w:val="009C63EC"/>
    <w:rsid w:val="009C728A"/>
    <w:rsid w:val="009D05F7"/>
    <w:rsid w:val="009D0E46"/>
    <w:rsid w:val="009D2578"/>
    <w:rsid w:val="009D3CAA"/>
    <w:rsid w:val="009D4FA0"/>
    <w:rsid w:val="009D5336"/>
    <w:rsid w:val="009D53D0"/>
    <w:rsid w:val="009D607F"/>
    <w:rsid w:val="009D6733"/>
    <w:rsid w:val="009D6F0E"/>
    <w:rsid w:val="009E12C6"/>
    <w:rsid w:val="009E183A"/>
    <w:rsid w:val="009E18B6"/>
    <w:rsid w:val="009E2CD3"/>
    <w:rsid w:val="009E35A1"/>
    <w:rsid w:val="009E79DB"/>
    <w:rsid w:val="009F3675"/>
    <w:rsid w:val="009F444A"/>
    <w:rsid w:val="009F4A5E"/>
    <w:rsid w:val="009F5BA9"/>
    <w:rsid w:val="009F7790"/>
    <w:rsid w:val="00A019C4"/>
    <w:rsid w:val="00A024EA"/>
    <w:rsid w:val="00A02528"/>
    <w:rsid w:val="00A02542"/>
    <w:rsid w:val="00A02852"/>
    <w:rsid w:val="00A02E3A"/>
    <w:rsid w:val="00A03240"/>
    <w:rsid w:val="00A03B73"/>
    <w:rsid w:val="00A044B9"/>
    <w:rsid w:val="00A105D9"/>
    <w:rsid w:val="00A11593"/>
    <w:rsid w:val="00A11C42"/>
    <w:rsid w:val="00A128D4"/>
    <w:rsid w:val="00A170EF"/>
    <w:rsid w:val="00A219C8"/>
    <w:rsid w:val="00A2223B"/>
    <w:rsid w:val="00A222A7"/>
    <w:rsid w:val="00A2301E"/>
    <w:rsid w:val="00A23861"/>
    <w:rsid w:val="00A252B8"/>
    <w:rsid w:val="00A25F04"/>
    <w:rsid w:val="00A26D39"/>
    <w:rsid w:val="00A2707E"/>
    <w:rsid w:val="00A27EC3"/>
    <w:rsid w:val="00A32B82"/>
    <w:rsid w:val="00A33AE6"/>
    <w:rsid w:val="00A34679"/>
    <w:rsid w:val="00A347F2"/>
    <w:rsid w:val="00A3494D"/>
    <w:rsid w:val="00A350B5"/>
    <w:rsid w:val="00A353FA"/>
    <w:rsid w:val="00A35951"/>
    <w:rsid w:val="00A362E4"/>
    <w:rsid w:val="00A36D24"/>
    <w:rsid w:val="00A402FF"/>
    <w:rsid w:val="00A412E5"/>
    <w:rsid w:val="00A41CD1"/>
    <w:rsid w:val="00A4257F"/>
    <w:rsid w:val="00A42AFF"/>
    <w:rsid w:val="00A4362F"/>
    <w:rsid w:val="00A43755"/>
    <w:rsid w:val="00A43FE5"/>
    <w:rsid w:val="00A4785B"/>
    <w:rsid w:val="00A5077F"/>
    <w:rsid w:val="00A5082C"/>
    <w:rsid w:val="00A50E61"/>
    <w:rsid w:val="00A50FB9"/>
    <w:rsid w:val="00A517AC"/>
    <w:rsid w:val="00A526F6"/>
    <w:rsid w:val="00A544D2"/>
    <w:rsid w:val="00A566B7"/>
    <w:rsid w:val="00A57CBC"/>
    <w:rsid w:val="00A60222"/>
    <w:rsid w:val="00A61F2D"/>
    <w:rsid w:val="00A63496"/>
    <w:rsid w:val="00A63CB5"/>
    <w:rsid w:val="00A6542A"/>
    <w:rsid w:val="00A65BF1"/>
    <w:rsid w:val="00A67147"/>
    <w:rsid w:val="00A75385"/>
    <w:rsid w:val="00A75527"/>
    <w:rsid w:val="00A75D55"/>
    <w:rsid w:val="00A76D93"/>
    <w:rsid w:val="00A771FF"/>
    <w:rsid w:val="00A80C52"/>
    <w:rsid w:val="00A8118B"/>
    <w:rsid w:val="00A817D6"/>
    <w:rsid w:val="00A82194"/>
    <w:rsid w:val="00A84E6C"/>
    <w:rsid w:val="00A85731"/>
    <w:rsid w:val="00A860B8"/>
    <w:rsid w:val="00A86EEA"/>
    <w:rsid w:val="00A87BD9"/>
    <w:rsid w:val="00A9006C"/>
    <w:rsid w:val="00A9012A"/>
    <w:rsid w:val="00A9026D"/>
    <w:rsid w:val="00A90B1F"/>
    <w:rsid w:val="00A912A0"/>
    <w:rsid w:val="00A92139"/>
    <w:rsid w:val="00A954D2"/>
    <w:rsid w:val="00A963EC"/>
    <w:rsid w:val="00A96CB7"/>
    <w:rsid w:val="00A96DB6"/>
    <w:rsid w:val="00A97261"/>
    <w:rsid w:val="00A97335"/>
    <w:rsid w:val="00AA0478"/>
    <w:rsid w:val="00AA090C"/>
    <w:rsid w:val="00AA0AD0"/>
    <w:rsid w:val="00AA33C3"/>
    <w:rsid w:val="00AA348D"/>
    <w:rsid w:val="00AA7F17"/>
    <w:rsid w:val="00AB0F68"/>
    <w:rsid w:val="00AB10E4"/>
    <w:rsid w:val="00AB3AD3"/>
    <w:rsid w:val="00AB496A"/>
    <w:rsid w:val="00AB6F40"/>
    <w:rsid w:val="00AB731A"/>
    <w:rsid w:val="00AB7495"/>
    <w:rsid w:val="00AC1CEE"/>
    <w:rsid w:val="00AC4231"/>
    <w:rsid w:val="00AC4C9D"/>
    <w:rsid w:val="00AC5EB8"/>
    <w:rsid w:val="00AC6075"/>
    <w:rsid w:val="00AC633B"/>
    <w:rsid w:val="00AD38D6"/>
    <w:rsid w:val="00AD39BA"/>
    <w:rsid w:val="00AD7473"/>
    <w:rsid w:val="00AD74A8"/>
    <w:rsid w:val="00AE2A60"/>
    <w:rsid w:val="00AE3379"/>
    <w:rsid w:val="00AE5E59"/>
    <w:rsid w:val="00AE5ECA"/>
    <w:rsid w:val="00AE610C"/>
    <w:rsid w:val="00AE748D"/>
    <w:rsid w:val="00AE7DCA"/>
    <w:rsid w:val="00AF02A9"/>
    <w:rsid w:val="00AF04FF"/>
    <w:rsid w:val="00AF10C9"/>
    <w:rsid w:val="00AF1246"/>
    <w:rsid w:val="00AF2D7B"/>
    <w:rsid w:val="00AF5BC8"/>
    <w:rsid w:val="00B0072C"/>
    <w:rsid w:val="00B00BC5"/>
    <w:rsid w:val="00B01B8D"/>
    <w:rsid w:val="00B05061"/>
    <w:rsid w:val="00B06C76"/>
    <w:rsid w:val="00B10662"/>
    <w:rsid w:val="00B1095B"/>
    <w:rsid w:val="00B1307F"/>
    <w:rsid w:val="00B130B4"/>
    <w:rsid w:val="00B13C93"/>
    <w:rsid w:val="00B15D2E"/>
    <w:rsid w:val="00B17589"/>
    <w:rsid w:val="00B178D5"/>
    <w:rsid w:val="00B2001F"/>
    <w:rsid w:val="00B21B78"/>
    <w:rsid w:val="00B22A61"/>
    <w:rsid w:val="00B22AF2"/>
    <w:rsid w:val="00B22C3A"/>
    <w:rsid w:val="00B23FDF"/>
    <w:rsid w:val="00B246C8"/>
    <w:rsid w:val="00B268BC"/>
    <w:rsid w:val="00B26A06"/>
    <w:rsid w:val="00B26CF0"/>
    <w:rsid w:val="00B26D59"/>
    <w:rsid w:val="00B27685"/>
    <w:rsid w:val="00B312ED"/>
    <w:rsid w:val="00B33F8D"/>
    <w:rsid w:val="00B340C9"/>
    <w:rsid w:val="00B349F2"/>
    <w:rsid w:val="00B37F71"/>
    <w:rsid w:val="00B4052E"/>
    <w:rsid w:val="00B40E2F"/>
    <w:rsid w:val="00B43760"/>
    <w:rsid w:val="00B52DA7"/>
    <w:rsid w:val="00B5318A"/>
    <w:rsid w:val="00B54291"/>
    <w:rsid w:val="00B60631"/>
    <w:rsid w:val="00B61B6C"/>
    <w:rsid w:val="00B626D1"/>
    <w:rsid w:val="00B63C66"/>
    <w:rsid w:val="00B63CD1"/>
    <w:rsid w:val="00B64673"/>
    <w:rsid w:val="00B64C1D"/>
    <w:rsid w:val="00B658C8"/>
    <w:rsid w:val="00B6646F"/>
    <w:rsid w:val="00B66760"/>
    <w:rsid w:val="00B744AD"/>
    <w:rsid w:val="00B74C47"/>
    <w:rsid w:val="00B757D1"/>
    <w:rsid w:val="00B7614A"/>
    <w:rsid w:val="00B82CBA"/>
    <w:rsid w:val="00B8322D"/>
    <w:rsid w:val="00B83BAE"/>
    <w:rsid w:val="00B83FC9"/>
    <w:rsid w:val="00B8497E"/>
    <w:rsid w:val="00B8531E"/>
    <w:rsid w:val="00B86518"/>
    <w:rsid w:val="00B872C9"/>
    <w:rsid w:val="00B8757E"/>
    <w:rsid w:val="00B9162F"/>
    <w:rsid w:val="00B91D8E"/>
    <w:rsid w:val="00B928C0"/>
    <w:rsid w:val="00B9305E"/>
    <w:rsid w:val="00BA0BED"/>
    <w:rsid w:val="00BA0D2F"/>
    <w:rsid w:val="00BA150D"/>
    <w:rsid w:val="00BA17BD"/>
    <w:rsid w:val="00BA2820"/>
    <w:rsid w:val="00BA3B0F"/>
    <w:rsid w:val="00BA5DC5"/>
    <w:rsid w:val="00BA63D8"/>
    <w:rsid w:val="00BA7A60"/>
    <w:rsid w:val="00BB39CA"/>
    <w:rsid w:val="00BB56E1"/>
    <w:rsid w:val="00BC1790"/>
    <w:rsid w:val="00BC1806"/>
    <w:rsid w:val="00BC29BA"/>
    <w:rsid w:val="00BC2A07"/>
    <w:rsid w:val="00BC343E"/>
    <w:rsid w:val="00BC36A6"/>
    <w:rsid w:val="00BC3E41"/>
    <w:rsid w:val="00BC6172"/>
    <w:rsid w:val="00BC7353"/>
    <w:rsid w:val="00BC77CF"/>
    <w:rsid w:val="00BD124A"/>
    <w:rsid w:val="00BD22CD"/>
    <w:rsid w:val="00BD3CEB"/>
    <w:rsid w:val="00BD3D36"/>
    <w:rsid w:val="00BD42F8"/>
    <w:rsid w:val="00BE06E4"/>
    <w:rsid w:val="00BE2664"/>
    <w:rsid w:val="00BE3FA5"/>
    <w:rsid w:val="00BE5459"/>
    <w:rsid w:val="00BE5EC2"/>
    <w:rsid w:val="00BF094F"/>
    <w:rsid w:val="00BF2449"/>
    <w:rsid w:val="00BF2BB9"/>
    <w:rsid w:val="00BF37CC"/>
    <w:rsid w:val="00BF37D7"/>
    <w:rsid w:val="00BF39FB"/>
    <w:rsid w:val="00BF3B76"/>
    <w:rsid w:val="00BF7A3B"/>
    <w:rsid w:val="00C00E99"/>
    <w:rsid w:val="00C014B6"/>
    <w:rsid w:val="00C051DA"/>
    <w:rsid w:val="00C103F6"/>
    <w:rsid w:val="00C1085A"/>
    <w:rsid w:val="00C129BC"/>
    <w:rsid w:val="00C12C38"/>
    <w:rsid w:val="00C135CD"/>
    <w:rsid w:val="00C1574D"/>
    <w:rsid w:val="00C16674"/>
    <w:rsid w:val="00C20119"/>
    <w:rsid w:val="00C202B3"/>
    <w:rsid w:val="00C21BD8"/>
    <w:rsid w:val="00C222D5"/>
    <w:rsid w:val="00C22960"/>
    <w:rsid w:val="00C23A82"/>
    <w:rsid w:val="00C25335"/>
    <w:rsid w:val="00C271D0"/>
    <w:rsid w:val="00C278EF"/>
    <w:rsid w:val="00C27EFC"/>
    <w:rsid w:val="00C310E9"/>
    <w:rsid w:val="00C3224B"/>
    <w:rsid w:val="00C33629"/>
    <w:rsid w:val="00C369EB"/>
    <w:rsid w:val="00C36CA2"/>
    <w:rsid w:val="00C37C8C"/>
    <w:rsid w:val="00C4125E"/>
    <w:rsid w:val="00C42264"/>
    <w:rsid w:val="00C42C30"/>
    <w:rsid w:val="00C42C5F"/>
    <w:rsid w:val="00C43753"/>
    <w:rsid w:val="00C44001"/>
    <w:rsid w:val="00C44FA8"/>
    <w:rsid w:val="00C46EDE"/>
    <w:rsid w:val="00C50093"/>
    <w:rsid w:val="00C5252C"/>
    <w:rsid w:val="00C53012"/>
    <w:rsid w:val="00C54D76"/>
    <w:rsid w:val="00C5577A"/>
    <w:rsid w:val="00C559F2"/>
    <w:rsid w:val="00C56911"/>
    <w:rsid w:val="00C60878"/>
    <w:rsid w:val="00C62484"/>
    <w:rsid w:val="00C65CF0"/>
    <w:rsid w:val="00C67C21"/>
    <w:rsid w:val="00C715D3"/>
    <w:rsid w:val="00C71600"/>
    <w:rsid w:val="00C71B64"/>
    <w:rsid w:val="00C731C8"/>
    <w:rsid w:val="00C73568"/>
    <w:rsid w:val="00C741B6"/>
    <w:rsid w:val="00C7522F"/>
    <w:rsid w:val="00C75B42"/>
    <w:rsid w:val="00C75C57"/>
    <w:rsid w:val="00C75DED"/>
    <w:rsid w:val="00C76959"/>
    <w:rsid w:val="00C769D1"/>
    <w:rsid w:val="00C801BD"/>
    <w:rsid w:val="00C82A48"/>
    <w:rsid w:val="00C83AF2"/>
    <w:rsid w:val="00C83C56"/>
    <w:rsid w:val="00C86EB1"/>
    <w:rsid w:val="00C87C69"/>
    <w:rsid w:val="00C90849"/>
    <w:rsid w:val="00C90FEB"/>
    <w:rsid w:val="00C9177B"/>
    <w:rsid w:val="00C917AA"/>
    <w:rsid w:val="00C93AE3"/>
    <w:rsid w:val="00C9430B"/>
    <w:rsid w:val="00C959B7"/>
    <w:rsid w:val="00C96EAA"/>
    <w:rsid w:val="00C97A91"/>
    <w:rsid w:val="00C97EBD"/>
    <w:rsid w:val="00CA1FC9"/>
    <w:rsid w:val="00CA2625"/>
    <w:rsid w:val="00CB06EE"/>
    <w:rsid w:val="00CB110F"/>
    <w:rsid w:val="00CB3A00"/>
    <w:rsid w:val="00CB4626"/>
    <w:rsid w:val="00CB5CED"/>
    <w:rsid w:val="00CB665B"/>
    <w:rsid w:val="00CC024F"/>
    <w:rsid w:val="00CC081D"/>
    <w:rsid w:val="00CC20E5"/>
    <w:rsid w:val="00CC310C"/>
    <w:rsid w:val="00CC4066"/>
    <w:rsid w:val="00CC4295"/>
    <w:rsid w:val="00CC4798"/>
    <w:rsid w:val="00CC5162"/>
    <w:rsid w:val="00CD154B"/>
    <w:rsid w:val="00CD2E19"/>
    <w:rsid w:val="00CD51C2"/>
    <w:rsid w:val="00CD52DD"/>
    <w:rsid w:val="00CD5479"/>
    <w:rsid w:val="00CE4913"/>
    <w:rsid w:val="00CF5964"/>
    <w:rsid w:val="00CF5A1B"/>
    <w:rsid w:val="00CF5BC5"/>
    <w:rsid w:val="00CF625D"/>
    <w:rsid w:val="00CF6C45"/>
    <w:rsid w:val="00D00C17"/>
    <w:rsid w:val="00D03920"/>
    <w:rsid w:val="00D04A36"/>
    <w:rsid w:val="00D04D4D"/>
    <w:rsid w:val="00D0534D"/>
    <w:rsid w:val="00D05F24"/>
    <w:rsid w:val="00D074BF"/>
    <w:rsid w:val="00D116C6"/>
    <w:rsid w:val="00D123E9"/>
    <w:rsid w:val="00D128F5"/>
    <w:rsid w:val="00D13051"/>
    <w:rsid w:val="00D142AF"/>
    <w:rsid w:val="00D15A21"/>
    <w:rsid w:val="00D171EA"/>
    <w:rsid w:val="00D173C7"/>
    <w:rsid w:val="00D17507"/>
    <w:rsid w:val="00D17F96"/>
    <w:rsid w:val="00D209A6"/>
    <w:rsid w:val="00D2129C"/>
    <w:rsid w:val="00D222E4"/>
    <w:rsid w:val="00D23C7C"/>
    <w:rsid w:val="00D25847"/>
    <w:rsid w:val="00D26918"/>
    <w:rsid w:val="00D26C5E"/>
    <w:rsid w:val="00D307D1"/>
    <w:rsid w:val="00D30940"/>
    <w:rsid w:val="00D311D3"/>
    <w:rsid w:val="00D328E7"/>
    <w:rsid w:val="00D33856"/>
    <w:rsid w:val="00D33F12"/>
    <w:rsid w:val="00D34C92"/>
    <w:rsid w:val="00D34CF6"/>
    <w:rsid w:val="00D36A79"/>
    <w:rsid w:val="00D3754E"/>
    <w:rsid w:val="00D37820"/>
    <w:rsid w:val="00D414E2"/>
    <w:rsid w:val="00D41B7D"/>
    <w:rsid w:val="00D420D7"/>
    <w:rsid w:val="00D423C1"/>
    <w:rsid w:val="00D4415D"/>
    <w:rsid w:val="00D44736"/>
    <w:rsid w:val="00D4561E"/>
    <w:rsid w:val="00D46F6D"/>
    <w:rsid w:val="00D505AE"/>
    <w:rsid w:val="00D50E8F"/>
    <w:rsid w:val="00D52816"/>
    <w:rsid w:val="00D56025"/>
    <w:rsid w:val="00D5690E"/>
    <w:rsid w:val="00D57005"/>
    <w:rsid w:val="00D571AA"/>
    <w:rsid w:val="00D6131F"/>
    <w:rsid w:val="00D65CC0"/>
    <w:rsid w:val="00D65E8D"/>
    <w:rsid w:val="00D70513"/>
    <w:rsid w:val="00D72674"/>
    <w:rsid w:val="00D73421"/>
    <w:rsid w:val="00D74766"/>
    <w:rsid w:val="00D74A99"/>
    <w:rsid w:val="00D74DA5"/>
    <w:rsid w:val="00D74EEF"/>
    <w:rsid w:val="00D7662F"/>
    <w:rsid w:val="00D76921"/>
    <w:rsid w:val="00D7718A"/>
    <w:rsid w:val="00D77677"/>
    <w:rsid w:val="00D8053C"/>
    <w:rsid w:val="00D80D25"/>
    <w:rsid w:val="00D81592"/>
    <w:rsid w:val="00D81A78"/>
    <w:rsid w:val="00D83787"/>
    <w:rsid w:val="00D85878"/>
    <w:rsid w:val="00D86455"/>
    <w:rsid w:val="00D86700"/>
    <w:rsid w:val="00D8711F"/>
    <w:rsid w:val="00D91BE2"/>
    <w:rsid w:val="00D9323E"/>
    <w:rsid w:val="00D94E8B"/>
    <w:rsid w:val="00D9689E"/>
    <w:rsid w:val="00D97C8E"/>
    <w:rsid w:val="00D97C93"/>
    <w:rsid w:val="00DA095F"/>
    <w:rsid w:val="00DA0FCB"/>
    <w:rsid w:val="00DA2BF3"/>
    <w:rsid w:val="00DA40A2"/>
    <w:rsid w:val="00DA58A2"/>
    <w:rsid w:val="00DA5CDF"/>
    <w:rsid w:val="00DA7F92"/>
    <w:rsid w:val="00DB0ABF"/>
    <w:rsid w:val="00DB231A"/>
    <w:rsid w:val="00DB3004"/>
    <w:rsid w:val="00DB30D1"/>
    <w:rsid w:val="00DB31BB"/>
    <w:rsid w:val="00DB3FCC"/>
    <w:rsid w:val="00DB40C2"/>
    <w:rsid w:val="00DB548E"/>
    <w:rsid w:val="00DB7D16"/>
    <w:rsid w:val="00DC05F4"/>
    <w:rsid w:val="00DC15C5"/>
    <w:rsid w:val="00DC6E1B"/>
    <w:rsid w:val="00DC7204"/>
    <w:rsid w:val="00DC7664"/>
    <w:rsid w:val="00DC7B84"/>
    <w:rsid w:val="00DC7CEA"/>
    <w:rsid w:val="00DD13C9"/>
    <w:rsid w:val="00DD18BF"/>
    <w:rsid w:val="00DD1F7D"/>
    <w:rsid w:val="00DD2834"/>
    <w:rsid w:val="00DE09F3"/>
    <w:rsid w:val="00DE582F"/>
    <w:rsid w:val="00DE71C6"/>
    <w:rsid w:val="00DE7F2F"/>
    <w:rsid w:val="00DE7F71"/>
    <w:rsid w:val="00DF0C48"/>
    <w:rsid w:val="00DF28DE"/>
    <w:rsid w:val="00DF2ABF"/>
    <w:rsid w:val="00DF3666"/>
    <w:rsid w:val="00DF4A36"/>
    <w:rsid w:val="00DF58CD"/>
    <w:rsid w:val="00DF7694"/>
    <w:rsid w:val="00E00894"/>
    <w:rsid w:val="00E00DB3"/>
    <w:rsid w:val="00E03F2E"/>
    <w:rsid w:val="00E10DA0"/>
    <w:rsid w:val="00E12131"/>
    <w:rsid w:val="00E15C65"/>
    <w:rsid w:val="00E17218"/>
    <w:rsid w:val="00E201BF"/>
    <w:rsid w:val="00E20CA4"/>
    <w:rsid w:val="00E215EA"/>
    <w:rsid w:val="00E21E56"/>
    <w:rsid w:val="00E23622"/>
    <w:rsid w:val="00E2500B"/>
    <w:rsid w:val="00E25317"/>
    <w:rsid w:val="00E2708B"/>
    <w:rsid w:val="00E303E4"/>
    <w:rsid w:val="00E308A2"/>
    <w:rsid w:val="00E335D5"/>
    <w:rsid w:val="00E33B9B"/>
    <w:rsid w:val="00E3462A"/>
    <w:rsid w:val="00E362B3"/>
    <w:rsid w:val="00E370DE"/>
    <w:rsid w:val="00E40B2C"/>
    <w:rsid w:val="00E412E2"/>
    <w:rsid w:val="00E443C5"/>
    <w:rsid w:val="00E4484A"/>
    <w:rsid w:val="00E44908"/>
    <w:rsid w:val="00E44FB6"/>
    <w:rsid w:val="00E45F2B"/>
    <w:rsid w:val="00E50EB5"/>
    <w:rsid w:val="00E52D2D"/>
    <w:rsid w:val="00E52D58"/>
    <w:rsid w:val="00E539D9"/>
    <w:rsid w:val="00E53FA1"/>
    <w:rsid w:val="00E5501A"/>
    <w:rsid w:val="00E55EB6"/>
    <w:rsid w:val="00E577FA"/>
    <w:rsid w:val="00E57F97"/>
    <w:rsid w:val="00E6078E"/>
    <w:rsid w:val="00E61B8D"/>
    <w:rsid w:val="00E61F1E"/>
    <w:rsid w:val="00E62232"/>
    <w:rsid w:val="00E6262B"/>
    <w:rsid w:val="00E64DD5"/>
    <w:rsid w:val="00E656E3"/>
    <w:rsid w:val="00E66AB6"/>
    <w:rsid w:val="00E707D3"/>
    <w:rsid w:val="00E7098C"/>
    <w:rsid w:val="00E71039"/>
    <w:rsid w:val="00E720C5"/>
    <w:rsid w:val="00E7257A"/>
    <w:rsid w:val="00E72937"/>
    <w:rsid w:val="00E72A00"/>
    <w:rsid w:val="00E75850"/>
    <w:rsid w:val="00E77F8E"/>
    <w:rsid w:val="00E803B0"/>
    <w:rsid w:val="00E81688"/>
    <w:rsid w:val="00E830B2"/>
    <w:rsid w:val="00E83F34"/>
    <w:rsid w:val="00E84CAC"/>
    <w:rsid w:val="00E851EB"/>
    <w:rsid w:val="00E85DE0"/>
    <w:rsid w:val="00E90097"/>
    <w:rsid w:val="00E919EA"/>
    <w:rsid w:val="00E926CC"/>
    <w:rsid w:val="00E93823"/>
    <w:rsid w:val="00E95EE4"/>
    <w:rsid w:val="00E9689E"/>
    <w:rsid w:val="00E969FF"/>
    <w:rsid w:val="00E97842"/>
    <w:rsid w:val="00EA04FC"/>
    <w:rsid w:val="00EA0B4A"/>
    <w:rsid w:val="00EA1519"/>
    <w:rsid w:val="00EA24D6"/>
    <w:rsid w:val="00EA2A68"/>
    <w:rsid w:val="00EA3F64"/>
    <w:rsid w:val="00EA4180"/>
    <w:rsid w:val="00EA47FC"/>
    <w:rsid w:val="00EB0058"/>
    <w:rsid w:val="00EB0A61"/>
    <w:rsid w:val="00EB252E"/>
    <w:rsid w:val="00EB2DB1"/>
    <w:rsid w:val="00EB32CC"/>
    <w:rsid w:val="00EB41A4"/>
    <w:rsid w:val="00EB4F01"/>
    <w:rsid w:val="00EB504A"/>
    <w:rsid w:val="00EB5461"/>
    <w:rsid w:val="00EB5AA8"/>
    <w:rsid w:val="00EB6BC9"/>
    <w:rsid w:val="00EB7806"/>
    <w:rsid w:val="00EC36A2"/>
    <w:rsid w:val="00EC3D1B"/>
    <w:rsid w:val="00EC5193"/>
    <w:rsid w:val="00EC543F"/>
    <w:rsid w:val="00EC5D97"/>
    <w:rsid w:val="00EC65E8"/>
    <w:rsid w:val="00EC76C7"/>
    <w:rsid w:val="00ED0285"/>
    <w:rsid w:val="00ED04E3"/>
    <w:rsid w:val="00ED16E6"/>
    <w:rsid w:val="00ED19A9"/>
    <w:rsid w:val="00ED2B23"/>
    <w:rsid w:val="00ED348D"/>
    <w:rsid w:val="00ED705E"/>
    <w:rsid w:val="00EE048F"/>
    <w:rsid w:val="00EE13EA"/>
    <w:rsid w:val="00EE1DA3"/>
    <w:rsid w:val="00EE33AB"/>
    <w:rsid w:val="00EE3DE9"/>
    <w:rsid w:val="00EE5C5B"/>
    <w:rsid w:val="00EE6947"/>
    <w:rsid w:val="00EE731C"/>
    <w:rsid w:val="00EF09D0"/>
    <w:rsid w:val="00EF12F2"/>
    <w:rsid w:val="00EF2B76"/>
    <w:rsid w:val="00EF3CFF"/>
    <w:rsid w:val="00EF5F5C"/>
    <w:rsid w:val="00EF752A"/>
    <w:rsid w:val="00F00E43"/>
    <w:rsid w:val="00F0127D"/>
    <w:rsid w:val="00F02104"/>
    <w:rsid w:val="00F02768"/>
    <w:rsid w:val="00F02FFF"/>
    <w:rsid w:val="00F03162"/>
    <w:rsid w:val="00F03765"/>
    <w:rsid w:val="00F04252"/>
    <w:rsid w:val="00F05E4B"/>
    <w:rsid w:val="00F078E0"/>
    <w:rsid w:val="00F078E2"/>
    <w:rsid w:val="00F07AAC"/>
    <w:rsid w:val="00F100FD"/>
    <w:rsid w:val="00F10A55"/>
    <w:rsid w:val="00F11A54"/>
    <w:rsid w:val="00F11C5C"/>
    <w:rsid w:val="00F122A6"/>
    <w:rsid w:val="00F12A35"/>
    <w:rsid w:val="00F16CF2"/>
    <w:rsid w:val="00F16DF0"/>
    <w:rsid w:val="00F1707A"/>
    <w:rsid w:val="00F17791"/>
    <w:rsid w:val="00F20EE1"/>
    <w:rsid w:val="00F2106A"/>
    <w:rsid w:val="00F223D6"/>
    <w:rsid w:val="00F25CEA"/>
    <w:rsid w:val="00F26226"/>
    <w:rsid w:val="00F275C4"/>
    <w:rsid w:val="00F33A30"/>
    <w:rsid w:val="00F33A84"/>
    <w:rsid w:val="00F33A95"/>
    <w:rsid w:val="00F36014"/>
    <w:rsid w:val="00F3653F"/>
    <w:rsid w:val="00F37348"/>
    <w:rsid w:val="00F4111D"/>
    <w:rsid w:val="00F41459"/>
    <w:rsid w:val="00F4453D"/>
    <w:rsid w:val="00F45470"/>
    <w:rsid w:val="00F469FF"/>
    <w:rsid w:val="00F46E1F"/>
    <w:rsid w:val="00F46F84"/>
    <w:rsid w:val="00F47298"/>
    <w:rsid w:val="00F47351"/>
    <w:rsid w:val="00F476D3"/>
    <w:rsid w:val="00F51152"/>
    <w:rsid w:val="00F51236"/>
    <w:rsid w:val="00F515C1"/>
    <w:rsid w:val="00F517DD"/>
    <w:rsid w:val="00F53E00"/>
    <w:rsid w:val="00F53F2D"/>
    <w:rsid w:val="00F540BE"/>
    <w:rsid w:val="00F552C4"/>
    <w:rsid w:val="00F5688B"/>
    <w:rsid w:val="00F56B1C"/>
    <w:rsid w:val="00F57316"/>
    <w:rsid w:val="00F60638"/>
    <w:rsid w:val="00F60CB9"/>
    <w:rsid w:val="00F61EB3"/>
    <w:rsid w:val="00F627DB"/>
    <w:rsid w:val="00F6366E"/>
    <w:rsid w:val="00F639EF"/>
    <w:rsid w:val="00F66524"/>
    <w:rsid w:val="00F66E0F"/>
    <w:rsid w:val="00F70106"/>
    <w:rsid w:val="00F706C8"/>
    <w:rsid w:val="00F72133"/>
    <w:rsid w:val="00F733F9"/>
    <w:rsid w:val="00F740A7"/>
    <w:rsid w:val="00F74643"/>
    <w:rsid w:val="00F77709"/>
    <w:rsid w:val="00F8015F"/>
    <w:rsid w:val="00F801A4"/>
    <w:rsid w:val="00F805E2"/>
    <w:rsid w:val="00F80B2C"/>
    <w:rsid w:val="00F82419"/>
    <w:rsid w:val="00F82FBF"/>
    <w:rsid w:val="00F840EF"/>
    <w:rsid w:val="00F864D6"/>
    <w:rsid w:val="00F866AE"/>
    <w:rsid w:val="00F86C31"/>
    <w:rsid w:val="00F90C67"/>
    <w:rsid w:val="00F91664"/>
    <w:rsid w:val="00F917B7"/>
    <w:rsid w:val="00F922F6"/>
    <w:rsid w:val="00F94484"/>
    <w:rsid w:val="00F94799"/>
    <w:rsid w:val="00F94FB1"/>
    <w:rsid w:val="00F95AC8"/>
    <w:rsid w:val="00F95B88"/>
    <w:rsid w:val="00F96DA6"/>
    <w:rsid w:val="00F96E2F"/>
    <w:rsid w:val="00F97475"/>
    <w:rsid w:val="00F97E6B"/>
    <w:rsid w:val="00FA024E"/>
    <w:rsid w:val="00FA185A"/>
    <w:rsid w:val="00FA1AF7"/>
    <w:rsid w:val="00FA3703"/>
    <w:rsid w:val="00FA4777"/>
    <w:rsid w:val="00FA57D8"/>
    <w:rsid w:val="00FA5923"/>
    <w:rsid w:val="00FA5985"/>
    <w:rsid w:val="00FA5A06"/>
    <w:rsid w:val="00FA6827"/>
    <w:rsid w:val="00FA6E8F"/>
    <w:rsid w:val="00FB159A"/>
    <w:rsid w:val="00FB417E"/>
    <w:rsid w:val="00FB4268"/>
    <w:rsid w:val="00FB471C"/>
    <w:rsid w:val="00FB563C"/>
    <w:rsid w:val="00FB5F78"/>
    <w:rsid w:val="00FB6AD5"/>
    <w:rsid w:val="00FB700F"/>
    <w:rsid w:val="00FB719C"/>
    <w:rsid w:val="00FC1870"/>
    <w:rsid w:val="00FC1A22"/>
    <w:rsid w:val="00FC1A8F"/>
    <w:rsid w:val="00FC2FB6"/>
    <w:rsid w:val="00FC4230"/>
    <w:rsid w:val="00FC4548"/>
    <w:rsid w:val="00FC4AE7"/>
    <w:rsid w:val="00FC4F29"/>
    <w:rsid w:val="00FC5300"/>
    <w:rsid w:val="00FC5F09"/>
    <w:rsid w:val="00FC6018"/>
    <w:rsid w:val="00FC64DE"/>
    <w:rsid w:val="00FC67D5"/>
    <w:rsid w:val="00FD0A92"/>
    <w:rsid w:val="00FD0B74"/>
    <w:rsid w:val="00FD5242"/>
    <w:rsid w:val="00FD56E7"/>
    <w:rsid w:val="00FD593E"/>
    <w:rsid w:val="00FD6140"/>
    <w:rsid w:val="00FD652C"/>
    <w:rsid w:val="00FE084D"/>
    <w:rsid w:val="00FE0C1F"/>
    <w:rsid w:val="00FE10D0"/>
    <w:rsid w:val="00FE1D7E"/>
    <w:rsid w:val="00FE2107"/>
    <w:rsid w:val="00FE53E2"/>
    <w:rsid w:val="00FE7057"/>
    <w:rsid w:val="00FE7847"/>
    <w:rsid w:val="00FF37E6"/>
    <w:rsid w:val="00FF6462"/>
    <w:rsid w:val="00FF7225"/>
    <w:rsid w:val="00FF7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7DF6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7D16"/>
    <w:rPr>
      <w:rFonts w:ascii="Segoe UI Semilight" w:eastAsiaTheme="minorHAnsi" w:hAnsi="Segoe UI Semilight" w:cstheme="minorBidi"/>
      <w:sz w:val="20"/>
    </w:rPr>
  </w:style>
  <w:style w:type="paragraph" w:styleId="Heading1">
    <w:name w:val="heading 1"/>
    <w:basedOn w:val="Normal"/>
    <w:next w:val="BodyText"/>
    <w:link w:val="Heading1Char"/>
    <w:uiPriority w:val="9"/>
    <w:qFormat/>
    <w:rsid w:val="00DB7D16"/>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DB7D16"/>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DB7D16"/>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DB7D1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DB7D1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DB7D1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DB7D1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DB7D1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DB7D1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DB7D1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DB7D16"/>
    <w:rPr>
      <w:rFonts w:ascii="Segoe UI Semilight" w:eastAsiaTheme="minorHAnsi" w:hAnsi="Segoe UI Semilight" w:cstheme="minorBidi"/>
      <w:sz w:val="20"/>
    </w:rPr>
  </w:style>
  <w:style w:type="paragraph" w:customStyle="1" w:styleId="Bullet1">
    <w:name w:val="Bullet 1"/>
    <w:basedOn w:val="Normal"/>
    <w:link w:val="Bullet1Char"/>
    <w:qFormat/>
    <w:rsid w:val="00DB7D16"/>
    <w:pPr>
      <w:numPr>
        <w:numId w:val="3"/>
      </w:numPr>
      <w:spacing w:after="120"/>
    </w:pPr>
    <w:rPr>
      <w:bCs/>
    </w:rPr>
  </w:style>
  <w:style w:type="paragraph" w:customStyle="1" w:styleId="Bullet2">
    <w:name w:val="Bullet 2"/>
    <w:basedOn w:val="Normal"/>
    <w:qFormat/>
    <w:rsid w:val="00DB7D16"/>
    <w:pPr>
      <w:numPr>
        <w:numId w:val="4"/>
      </w:numPr>
      <w:spacing w:after="120"/>
    </w:pPr>
    <w:rPr>
      <w:bCs/>
    </w:rPr>
  </w:style>
  <w:style w:type="paragraph" w:customStyle="1" w:styleId="Bullet3">
    <w:name w:val="Bullet 3"/>
    <w:basedOn w:val="Normal"/>
    <w:qFormat/>
    <w:rsid w:val="00DB7D16"/>
    <w:pPr>
      <w:numPr>
        <w:numId w:val="5"/>
      </w:numPr>
      <w:tabs>
        <w:tab w:val="left" w:pos="1080"/>
      </w:tabs>
      <w:spacing w:after="120"/>
    </w:pPr>
    <w:rPr>
      <w:rFonts w:eastAsia="Calibri"/>
      <w:bCs/>
      <w:noProof/>
    </w:rPr>
  </w:style>
  <w:style w:type="paragraph" w:styleId="Footer">
    <w:name w:val="footer"/>
    <w:basedOn w:val="Normal"/>
    <w:link w:val="FooterChar"/>
    <w:uiPriority w:val="99"/>
    <w:rsid w:val="00DB7D1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DB7D16"/>
    <w:rPr>
      <w:rFonts w:ascii="Segoe UI Semilight" w:eastAsiaTheme="minorHAnsi" w:hAnsi="Segoe UI Semilight" w:cstheme="minorBidi"/>
      <w:color w:val="404040" w:themeColor="text1" w:themeTint="BF"/>
      <w:w w:val="90"/>
      <w:sz w:val="18"/>
    </w:rPr>
  </w:style>
  <w:style w:type="paragraph" w:customStyle="1" w:styleId="footnote">
    <w:name w:val="footnote"/>
    <w:basedOn w:val="Normal"/>
    <w:qFormat/>
    <w:rsid w:val="00DB7D16"/>
    <w:pPr>
      <w:ind w:left="180" w:hanging="180"/>
    </w:pPr>
    <w:rPr>
      <w:bCs/>
      <w:sz w:val="16"/>
    </w:rPr>
  </w:style>
  <w:style w:type="paragraph" w:customStyle="1" w:styleId="footnoteref">
    <w:name w:val="footnoteref"/>
    <w:basedOn w:val="Normal"/>
    <w:qFormat/>
    <w:rsid w:val="00DB7D16"/>
    <w:pPr>
      <w:ind w:left="180" w:hanging="180"/>
    </w:pPr>
    <w:rPr>
      <w:bCs/>
      <w:sz w:val="16"/>
      <w:vertAlign w:val="superscript"/>
    </w:rPr>
  </w:style>
  <w:style w:type="paragraph" w:styleId="Header">
    <w:name w:val="header"/>
    <w:basedOn w:val="Normal"/>
    <w:link w:val="HeaderChar"/>
    <w:uiPriority w:val="99"/>
    <w:rsid w:val="00DB7D1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DB7D16"/>
    <w:rPr>
      <w:rFonts w:ascii="Segoe UI Semilight" w:eastAsiaTheme="minorHAnsi" w:hAnsi="Segoe UI Semilight" w:cstheme="minorBidi"/>
      <w:color w:val="404040" w:themeColor="text1" w:themeTint="BF"/>
      <w:w w:val="90"/>
      <w:sz w:val="18"/>
    </w:rPr>
  </w:style>
  <w:style w:type="character" w:customStyle="1" w:styleId="Heading1Char">
    <w:name w:val="Heading 1 Char"/>
    <w:basedOn w:val="DefaultParagraphFont"/>
    <w:link w:val="Heading1"/>
    <w:rsid w:val="00DB7D16"/>
    <w:rPr>
      <w:rFonts w:ascii="Trebuchet MS" w:eastAsiaTheme="minorHAnsi" w:hAnsi="Trebuchet MS" w:cstheme="minorBidi"/>
      <w:bCs/>
      <w:caps/>
      <w:sz w:val="36"/>
      <w:szCs w:val="28"/>
    </w:rPr>
  </w:style>
  <w:style w:type="character" w:customStyle="1" w:styleId="Heading2Char">
    <w:name w:val="Heading 2 Char"/>
    <w:basedOn w:val="DefaultParagraphFont"/>
    <w:link w:val="Heading2"/>
    <w:uiPriority w:val="9"/>
    <w:rsid w:val="00DB7D16"/>
    <w:rPr>
      <w:rFonts w:ascii="Trebuchet MS" w:eastAsiaTheme="minorHAnsi" w:hAnsi="Trebuchet MS" w:cstheme="minorBidi"/>
      <w:caps/>
      <w:sz w:val="32"/>
      <w:szCs w:val="26"/>
    </w:rPr>
  </w:style>
  <w:style w:type="character" w:customStyle="1" w:styleId="Heading3Char">
    <w:name w:val="Heading 3 Char"/>
    <w:basedOn w:val="DefaultParagraphFont"/>
    <w:link w:val="Heading3"/>
    <w:uiPriority w:val="9"/>
    <w:rsid w:val="00DB7D16"/>
    <w:rPr>
      <w:rFonts w:ascii="Trebuchet MS" w:eastAsiaTheme="minorHAnsi" w:hAnsi="Trebuchet MS" w:cstheme="minorBidi"/>
      <w:bCs/>
      <w:sz w:val="32"/>
    </w:rPr>
  </w:style>
  <w:style w:type="character" w:customStyle="1" w:styleId="Heading4Char">
    <w:name w:val="Heading 4 Char"/>
    <w:basedOn w:val="DefaultParagraphFont"/>
    <w:link w:val="Heading4"/>
    <w:uiPriority w:val="9"/>
    <w:rsid w:val="00DB7D16"/>
    <w:rPr>
      <w:rFonts w:ascii="Trebuchet MS" w:eastAsiaTheme="minorHAnsi" w:hAnsi="Trebuchet MS" w:cstheme="minorBidi"/>
      <w:caps/>
      <w:sz w:val="28"/>
    </w:rPr>
  </w:style>
  <w:style w:type="character" w:customStyle="1" w:styleId="Heading5Char">
    <w:name w:val="Heading 5 Char"/>
    <w:basedOn w:val="DefaultParagraphFont"/>
    <w:link w:val="Heading5"/>
    <w:uiPriority w:val="9"/>
    <w:rsid w:val="00DB7D16"/>
    <w:rPr>
      <w:rFonts w:ascii="Trebuchet MS" w:eastAsiaTheme="minorHAnsi" w:hAnsi="Trebuchet MS" w:cstheme="minorBidi"/>
      <w:sz w:val="24"/>
      <w:szCs w:val="26"/>
    </w:rPr>
  </w:style>
  <w:style w:type="character" w:customStyle="1" w:styleId="Heading6Char">
    <w:name w:val="Heading 6 Char"/>
    <w:basedOn w:val="DefaultParagraphFont"/>
    <w:link w:val="Heading6"/>
    <w:uiPriority w:val="9"/>
    <w:rsid w:val="00DB7D16"/>
    <w:rPr>
      <w:rFonts w:ascii="Trebuchet MS" w:eastAsiaTheme="minorHAnsi" w:hAnsi="Trebuchet MS" w:cstheme="minorBidi"/>
      <w:iCs/>
      <w:sz w:val="20"/>
      <w:u w:val="single"/>
    </w:rPr>
  </w:style>
  <w:style w:type="character" w:customStyle="1" w:styleId="Heading7Char">
    <w:name w:val="Heading 7 Char"/>
    <w:basedOn w:val="DefaultParagraphFont"/>
    <w:link w:val="Heading7"/>
    <w:uiPriority w:val="9"/>
    <w:rsid w:val="00DB7D16"/>
    <w:rPr>
      <w:rFonts w:ascii="Trebuchet MS" w:eastAsiaTheme="minorHAnsi" w:hAnsi="Trebuchet MS" w:cstheme="minorBidi"/>
      <w:sz w:val="20"/>
    </w:rPr>
  </w:style>
  <w:style w:type="character" w:customStyle="1" w:styleId="Heading8Char">
    <w:name w:val="Heading 8 Char"/>
    <w:basedOn w:val="DefaultParagraphFont"/>
    <w:link w:val="Heading8"/>
    <w:uiPriority w:val="9"/>
    <w:rsid w:val="00DB7D16"/>
    <w:rPr>
      <w:rFonts w:ascii="Trebuchet MS" w:eastAsiaTheme="minorHAnsi" w:hAnsi="Trebuchet MS" w:cstheme="minorBidi"/>
      <w:sz w:val="20"/>
      <w:szCs w:val="20"/>
    </w:rPr>
  </w:style>
  <w:style w:type="character" w:customStyle="1" w:styleId="Heading9Char">
    <w:name w:val="Heading 9 Char"/>
    <w:basedOn w:val="DefaultParagraphFont"/>
    <w:link w:val="Heading9"/>
    <w:uiPriority w:val="9"/>
    <w:rsid w:val="00DB7D16"/>
    <w:rPr>
      <w:rFonts w:ascii="Trebuchet MS" w:eastAsiaTheme="minorHAnsi" w:hAnsi="Trebuchet MS" w:cstheme="minorBidi"/>
      <w:iCs/>
      <w:sz w:val="20"/>
      <w:szCs w:val="20"/>
    </w:rPr>
  </w:style>
  <w:style w:type="paragraph" w:customStyle="1" w:styleId="Impactdescription">
    <w:name w:val="Impact description"/>
    <w:basedOn w:val="BodyText"/>
    <w:link w:val="ImpactdescriptionChar"/>
    <w:rsid w:val="00DB7D1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DB7D16"/>
  </w:style>
  <w:style w:type="paragraph" w:customStyle="1" w:styleId="Mitigationtext">
    <w:name w:val="Mitigation text"/>
    <w:basedOn w:val="BodyText"/>
    <w:qFormat/>
    <w:rsid w:val="00DB7D16"/>
    <w:pPr>
      <w:spacing w:before="60"/>
    </w:pPr>
    <w:rPr>
      <w:spacing w:val="-2"/>
    </w:rPr>
  </w:style>
  <w:style w:type="paragraph" w:customStyle="1" w:styleId="Mitigationtitle">
    <w:name w:val="Mitigation title"/>
    <w:basedOn w:val="Heading5"/>
    <w:rsid w:val="00DB7D16"/>
    <w:rPr>
      <w:rFonts w:ascii="Segoe UI Semilight" w:eastAsia="Calibri" w:hAnsi="Segoe UI Semilight"/>
      <w:b/>
      <w:w w:val="90"/>
      <w:sz w:val="22"/>
    </w:rPr>
  </w:style>
  <w:style w:type="paragraph" w:customStyle="1" w:styleId="TableRow">
    <w:name w:val="TableRow"/>
    <w:basedOn w:val="Normal"/>
    <w:qFormat/>
    <w:rsid w:val="00DB7D16"/>
    <w:rPr>
      <w:b/>
      <w:bCs/>
      <w:sz w:val="18"/>
    </w:rPr>
  </w:style>
  <w:style w:type="paragraph" w:customStyle="1" w:styleId="TableSource">
    <w:name w:val="TableSource"/>
    <w:basedOn w:val="Normal"/>
    <w:qFormat/>
    <w:rsid w:val="00DB7D16"/>
    <w:pPr>
      <w:spacing w:after="120"/>
    </w:pPr>
    <w:rPr>
      <w:bCs/>
      <w:color w:val="262626" w:themeColor="text1" w:themeTint="D9"/>
      <w:sz w:val="16"/>
    </w:rPr>
  </w:style>
  <w:style w:type="paragraph" w:customStyle="1" w:styleId="TableTextL">
    <w:name w:val="TableTextL"/>
    <w:basedOn w:val="TableText"/>
    <w:qFormat/>
    <w:rsid w:val="00DB7D16"/>
    <w:pPr>
      <w:jc w:val="left"/>
    </w:pPr>
  </w:style>
  <w:style w:type="character" w:styleId="CommentReference">
    <w:name w:val="annotation reference"/>
    <w:basedOn w:val="DefaultParagraphFont"/>
    <w:uiPriority w:val="99"/>
    <w:unhideWhenUsed/>
    <w:rsid w:val="00705457"/>
    <w:rPr>
      <w:sz w:val="16"/>
      <w:szCs w:val="16"/>
    </w:rPr>
  </w:style>
  <w:style w:type="paragraph" w:styleId="CommentText">
    <w:name w:val="annotation text"/>
    <w:basedOn w:val="Normal"/>
    <w:link w:val="CommentTextChar"/>
    <w:uiPriority w:val="99"/>
    <w:unhideWhenUsed/>
    <w:rsid w:val="00705457"/>
    <w:rPr>
      <w:szCs w:val="20"/>
    </w:rPr>
  </w:style>
  <w:style w:type="character" w:customStyle="1" w:styleId="CommentTextChar">
    <w:name w:val="Comment Text Char"/>
    <w:basedOn w:val="DefaultParagraphFont"/>
    <w:link w:val="CommentText"/>
    <w:uiPriority w:val="99"/>
    <w:rsid w:val="00705457"/>
    <w:rPr>
      <w:sz w:val="20"/>
      <w:szCs w:val="20"/>
    </w:rPr>
  </w:style>
  <w:style w:type="character" w:styleId="Hyperlink">
    <w:name w:val="Hyperlink"/>
    <w:basedOn w:val="DefaultParagraphFont"/>
    <w:uiPriority w:val="99"/>
    <w:unhideWhenUsed/>
    <w:rsid w:val="00DB7D16"/>
    <w:rPr>
      <w:color w:val="auto"/>
      <w:u w:val="none"/>
    </w:rPr>
  </w:style>
  <w:style w:type="paragraph" w:styleId="TOC1">
    <w:name w:val="toc 1"/>
    <w:basedOn w:val="Normal"/>
    <w:next w:val="Normal"/>
    <w:autoRedefine/>
    <w:uiPriority w:val="39"/>
    <w:unhideWhenUsed/>
    <w:rsid w:val="00DB7D1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DB7D16"/>
    <w:pPr>
      <w:tabs>
        <w:tab w:val="right" w:leader="dot" w:pos="10080"/>
      </w:tabs>
      <w:ind w:left="1440" w:right="720" w:hanging="720"/>
    </w:pPr>
  </w:style>
  <w:style w:type="paragraph" w:styleId="TOC3">
    <w:name w:val="toc 3"/>
    <w:basedOn w:val="Normal"/>
    <w:next w:val="Normal"/>
    <w:autoRedefine/>
    <w:uiPriority w:val="39"/>
    <w:unhideWhenUsed/>
    <w:rsid w:val="00DB7D16"/>
    <w:pPr>
      <w:tabs>
        <w:tab w:val="right" w:leader="dot" w:pos="10080"/>
      </w:tabs>
      <w:ind w:left="2160" w:right="720" w:hanging="720"/>
    </w:pPr>
  </w:style>
  <w:style w:type="paragraph" w:styleId="TOC4">
    <w:name w:val="toc 4"/>
    <w:basedOn w:val="Normal"/>
    <w:next w:val="Normal"/>
    <w:autoRedefine/>
    <w:uiPriority w:val="39"/>
    <w:rsid w:val="00DB7D16"/>
    <w:pPr>
      <w:tabs>
        <w:tab w:val="right" w:leader="dot" w:pos="10080"/>
      </w:tabs>
      <w:spacing w:after="100"/>
      <w:ind w:left="1440" w:right="720" w:hanging="1440"/>
    </w:pPr>
  </w:style>
  <w:style w:type="paragraph" w:customStyle="1" w:styleId="TOCHEAD">
    <w:name w:val="TOCHEAD"/>
    <w:basedOn w:val="Heading1"/>
    <w:qFormat/>
    <w:rsid w:val="00DB7D16"/>
    <w:pPr>
      <w:numPr>
        <w:numId w:val="0"/>
      </w:numPr>
    </w:pPr>
  </w:style>
  <w:style w:type="paragraph" w:customStyle="1" w:styleId="TOCHEAD2">
    <w:name w:val="TOCHEAD2"/>
    <w:basedOn w:val="Normal"/>
    <w:qFormat/>
    <w:rsid w:val="00705457"/>
    <w:pPr>
      <w:pBdr>
        <w:bottom w:val="single" w:sz="4" w:space="1" w:color="auto"/>
      </w:pBdr>
      <w:tabs>
        <w:tab w:val="right" w:pos="10080"/>
      </w:tabs>
      <w:spacing w:after="360"/>
    </w:pPr>
    <w:rPr>
      <w:rFonts w:ascii="Franklin Gothic Medium" w:hAnsi="Franklin Gothic Medium"/>
      <w:sz w:val="28"/>
    </w:rPr>
  </w:style>
  <w:style w:type="paragraph" w:customStyle="1" w:styleId="TOCHEAD3">
    <w:name w:val="TOCHEAD3"/>
    <w:basedOn w:val="TOCHEAD2"/>
    <w:qFormat/>
    <w:rsid w:val="00705457"/>
    <w:pPr>
      <w:pBdr>
        <w:bottom w:val="none" w:sz="0" w:space="0" w:color="auto"/>
      </w:pBdr>
      <w:spacing w:before="240" w:after="240"/>
    </w:pPr>
  </w:style>
  <w:style w:type="character" w:customStyle="1" w:styleId="ImpactNoChar">
    <w:name w:val="Impact_No. Char"/>
    <w:basedOn w:val="BodyTextChar"/>
    <w:link w:val="ImpactNo"/>
    <w:rsid w:val="00DB7D16"/>
    <w:rPr>
      <w:rFonts w:ascii="Trebuchet MS" w:eastAsiaTheme="minorHAnsi" w:hAnsi="Trebuchet MS" w:cstheme="minorBidi"/>
      <w:sz w:val="24"/>
      <w:szCs w:val="26"/>
    </w:rPr>
  </w:style>
  <w:style w:type="paragraph" w:customStyle="1" w:styleId="FooterLandscape">
    <w:name w:val="Footer_Landscape"/>
    <w:basedOn w:val="Footer"/>
    <w:qFormat/>
    <w:rsid w:val="00DB7D16"/>
    <w:pPr>
      <w:tabs>
        <w:tab w:val="clear" w:pos="10080"/>
        <w:tab w:val="right" w:pos="13680"/>
      </w:tabs>
    </w:pPr>
  </w:style>
  <w:style w:type="paragraph" w:customStyle="1" w:styleId="HeaderLandscape">
    <w:name w:val="Header_Landscape"/>
    <w:basedOn w:val="Header"/>
    <w:qFormat/>
    <w:rsid w:val="00DB7D16"/>
    <w:pPr>
      <w:tabs>
        <w:tab w:val="clear" w:pos="5040"/>
        <w:tab w:val="clear" w:pos="10080"/>
        <w:tab w:val="center" w:pos="6840"/>
        <w:tab w:val="right" w:pos="13680"/>
      </w:tabs>
    </w:pPr>
  </w:style>
  <w:style w:type="paragraph" w:styleId="TOC5">
    <w:name w:val="toc 5"/>
    <w:basedOn w:val="Normal"/>
    <w:next w:val="Normal"/>
    <w:autoRedefine/>
    <w:uiPriority w:val="39"/>
    <w:rsid w:val="00DB7D16"/>
    <w:pPr>
      <w:tabs>
        <w:tab w:val="right" w:leader="dot" w:pos="10080"/>
      </w:tabs>
      <w:spacing w:after="100"/>
      <w:ind w:left="720" w:hanging="720"/>
    </w:pPr>
  </w:style>
  <w:style w:type="paragraph" w:styleId="CommentSubject">
    <w:name w:val="annotation subject"/>
    <w:basedOn w:val="CommentText"/>
    <w:next w:val="CommentText"/>
    <w:link w:val="CommentSubjectChar"/>
    <w:uiPriority w:val="99"/>
    <w:semiHidden/>
    <w:unhideWhenUsed/>
    <w:rsid w:val="008C4C98"/>
    <w:rPr>
      <w:b/>
      <w:bCs/>
    </w:rPr>
  </w:style>
  <w:style w:type="character" w:customStyle="1" w:styleId="CommentSubjectChar">
    <w:name w:val="Comment Subject Char"/>
    <w:basedOn w:val="CommentTextChar"/>
    <w:link w:val="CommentSubject"/>
    <w:uiPriority w:val="99"/>
    <w:semiHidden/>
    <w:rsid w:val="008C4C98"/>
    <w:rPr>
      <w:b/>
      <w:bCs/>
      <w:sz w:val="20"/>
      <w:szCs w:val="20"/>
    </w:rPr>
  </w:style>
  <w:style w:type="character" w:styleId="FollowedHyperlink">
    <w:name w:val="FollowedHyperlink"/>
    <w:basedOn w:val="DefaultParagraphFont"/>
    <w:uiPriority w:val="99"/>
    <w:semiHidden/>
    <w:unhideWhenUsed/>
    <w:rsid w:val="00094CD4"/>
    <w:rPr>
      <w:color w:val="800080" w:themeColor="followedHyperlink"/>
      <w:u w:val="single"/>
    </w:rPr>
  </w:style>
  <w:style w:type="paragraph" w:styleId="Revision">
    <w:name w:val="Revision"/>
    <w:hidden/>
    <w:uiPriority w:val="99"/>
    <w:semiHidden/>
    <w:rsid w:val="00820CD9"/>
    <w:rPr>
      <w:szCs w:val="24"/>
    </w:rPr>
  </w:style>
  <w:style w:type="paragraph" w:customStyle="1" w:styleId="TableColumn">
    <w:name w:val="TableColumn"/>
    <w:basedOn w:val="BodyText"/>
    <w:qFormat/>
    <w:rsid w:val="00DB7D16"/>
    <w:pPr>
      <w:spacing w:after="0"/>
      <w:jc w:val="center"/>
    </w:pPr>
    <w:rPr>
      <w:b/>
      <w:spacing w:val="-4"/>
      <w:w w:val="95"/>
      <w:sz w:val="18"/>
    </w:rPr>
  </w:style>
  <w:style w:type="paragraph" w:customStyle="1" w:styleId="TableHeader">
    <w:name w:val="TableHeader"/>
    <w:basedOn w:val="Normal"/>
    <w:qFormat/>
    <w:rsid w:val="00DB7D16"/>
    <w:pPr>
      <w:keepNext/>
      <w:spacing w:before="60" w:after="60"/>
      <w:ind w:left="1440" w:hanging="1440"/>
    </w:pPr>
    <w:rPr>
      <w:rFonts w:ascii="Segoe UI Semibold" w:hAnsi="Segoe UI Semibold" w:cs="Segoe UI Semibold"/>
      <w:bCs/>
    </w:rPr>
  </w:style>
  <w:style w:type="paragraph" w:customStyle="1" w:styleId="TableBullet1">
    <w:name w:val="Table Bullet 1"/>
    <w:basedOn w:val="Normal"/>
    <w:qFormat/>
    <w:rsid w:val="00DB7D16"/>
    <w:pPr>
      <w:numPr>
        <w:numId w:val="2"/>
      </w:numPr>
      <w:spacing w:after="60"/>
      <w:ind w:left="216" w:hanging="216"/>
    </w:pPr>
    <w:rPr>
      <w:bCs/>
      <w:w w:val="90"/>
      <w:sz w:val="18"/>
    </w:rPr>
  </w:style>
  <w:style w:type="character" w:customStyle="1" w:styleId="ImpactdescriptionChar">
    <w:name w:val="Impact description Char"/>
    <w:basedOn w:val="DefaultParagraphFont"/>
    <w:link w:val="Impactdescription"/>
    <w:rsid w:val="00DB7D16"/>
    <w:rPr>
      <w:rFonts w:ascii="Segoe UI Semilight" w:eastAsiaTheme="minorHAnsi" w:hAnsi="Segoe UI Semilight" w:cstheme="minorBidi"/>
      <w:sz w:val="20"/>
    </w:rPr>
  </w:style>
  <w:style w:type="paragraph" w:customStyle="1" w:styleId="MMBullet2">
    <w:name w:val="MM Bullet 2"/>
    <w:basedOn w:val="Bullet2"/>
    <w:qFormat/>
    <w:rsid w:val="00DB7D16"/>
    <w:pPr>
      <w:numPr>
        <w:numId w:val="28"/>
      </w:numPr>
    </w:pPr>
  </w:style>
  <w:style w:type="paragraph" w:customStyle="1" w:styleId="MMBullet1">
    <w:name w:val="MM Bullet 1"/>
    <w:basedOn w:val="Mitigationtext"/>
    <w:qFormat/>
    <w:rsid w:val="00DB7D16"/>
    <w:pPr>
      <w:numPr>
        <w:numId w:val="7"/>
      </w:numPr>
      <w:spacing w:before="0"/>
    </w:pPr>
  </w:style>
  <w:style w:type="paragraph" w:customStyle="1" w:styleId="TableText">
    <w:name w:val="TableText"/>
    <w:basedOn w:val="Normal"/>
    <w:qFormat/>
    <w:rsid w:val="00DB7D16"/>
    <w:pPr>
      <w:spacing w:line="240" w:lineRule="exact"/>
      <w:jc w:val="center"/>
    </w:pPr>
    <w:rPr>
      <w:w w:val="90"/>
      <w:sz w:val="18"/>
      <w:szCs w:val="20"/>
    </w:rPr>
  </w:style>
  <w:style w:type="paragraph" w:customStyle="1" w:styleId="TableBullet2">
    <w:name w:val="Table Bullet 2"/>
    <w:basedOn w:val="TableBullet1"/>
    <w:qFormat/>
    <w:rsid w:val="00DB7D16"/>
    <w:pPr>
      <w:numPr>
        <w:numId w:val="8"/>
      </w:numPr>
      <w:ind w:left="432" w:hanging="216"/>
    </w:pPr>
  </w:style>
  <w:style w:type="paragraph" w:customStyle="1" w:styleId="MMBullet3">
    <w:name w:val="MM Bullet 3"/>
    <w:basedOn w:val="BodyText"/>
    <w:qFormat/>
    <w:rsid w:val="00DB7D16"/>
    <w:pPr>
      <w:numPr>
        <w:numId w:val="9"/>
      </w:numPr>
    </w:pPr>
  </w:style>
  <w:style w:type="paragraph" w:customStyle="1" w:styleId="Header11x17">
    <w:name w:val="Header_11x17"/>
    <w:basedOn w:val="Header"/>
    <w:qFormat/>
    <w:rsid w:val="00DB7D16"/>
    <w:pPr>
      <w:tabs>
        <w:tab w:val="clear" w:pos="5040"/>
        <w:tab w:val="clear" w:pos="10080"/>
        <w:tab w:val="center" w:pos="11160"/>
        <w:tab w:val="right" w:pos="22320"/>
      </w:tabs>
    </w:pPr>
  </w:style>
  <w:style w:type="paragraph" w:customStyle="1" w:styleId="Footer11x17">
    <w:name w:val="Footer_11x17"/>
    <w:basedOn w:val="Footer"/>
    <w:qFormat/>
    <w:rsid w:val="00DB7D16"/>
    <w:pPr>
      <w:tabs>
        <w:tab w:val="clear" w:pos="10080"/>
        <w:tab w:val="right" w:pos="22320"/>
      </w:tabs>
    </w:pPr>
  </w:style>
  <w:style w:type="paragraph" w:customStyle="1" w:styleId="BodyText12ptbefore">
    <w:name w:val="Body Text_12pt before"/>
    <w:basedOn w:val="BodyText"/>
    <w:qFormat/>
    <w:rsid w:val="00DB7D16"/>
    <w:pPr>
      <w:spacing w:before="240"/>
    </w:pPr>
  </w:style>
  <w:style w:type="character" w:customStyle="1" w:styleId="PhotoChartChar">
    <w:name w:val="Photo/Chart Char"/>
    <w:basedOn w:val="DefaultParagraphFont"/>
    <w:link w:val="PhotoChart"/>
    <w:rsid w:val="00DB7D1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DB7D16"/>
    <w:pPr>
      <w:keepNext/>
      <w:spacing w:after="50"/>
      <w:jc w:val="center"/>
    </w:pPr>
    <w:rPr>
      <w:rFonts w:eastAsia="Times New Roman" w:cs="Segoe UI Semilight"/>
      <w:noProof/>
    </w:rPr>
  </w:style>
  <w:style w:type="paragraph" w:customStyle="1" w:styleId="PhotoChartDescriptionDoubleLine">
    <w:name w:val="Photo/Chart Description Double Line"/>
    <w:basedOn w:val="Normal"/>
    <w:link w:val="PhotoChartDescriptionDoubleLineChar"/>
    <w:rsid w:val="00DB7D1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DB7D16"/>
    <w:rPr>
      <w:rFonts w:ascii="Segoe UI Semilight" w:hAnsi="Segoe UI Semilight" w:cs="Segoe UI Semilight"/>
      <w:sz w:val="20"/>
      <w:szCs w:val="24"/>
    </w:rPr>
  </w:style>
  <w:style w:type="paragraph" w:customStyle="1" w:styleId="PhotoChartDescriptionSingleLine">
    <w:name w:val="Photo/Chart Description Single Line"/>
    <w:basedOn w:val="PhotoChartDescriptionDoubleLine"/>
    <w:qFormat/>
    <w:rsid w:val="00DB7D16"/>
    <w:pPr>
      <w:spacing w:after="600"/>
    </w:pPr>
  </w:style>
  <w:style w:type="paragraph" w:customStyle="1" w:styleId="PhotoChartPortraitDoubleLine">
    <w:name w:val="Photo/Chart Portrait Double Line"/>
    <w:basedOn w:val="Normal"/>
    <w:qFormat/>
    <w:rsid w:val="00DB7D1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DB7D16"/>
    <w:pPr>
      <w:keepNext/>
      <w:spacing w:after="120"/>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DB7D16"/>
    <w:pPr>
      <w:ind w:left="1683"/>
    </w:pPr>
  </w:style>
  <w:style w:type="paragraph" w:customStyle="1" w:styleId="Figure">
    <w:name w:val="Figure"/>
    <w:basedOn w:val="Normal"/>
    <w:qFormat/>
    <w:rsid w:val="00DB7D16"/>
    <w:pPr>
      <w:keepNext/>
      <w:jc w:val="center"/>
    </w:pPr>
  </w:style>
  <w:style w:type="paragraph" w:customStyle="1" w:styleId="FigureSource">
    <w:name w:val="FigureSource"/>
    <w:basedOn w:val="Normal"/>
    <w:qFormat/>
    <w:rsid w:val="00DB7D16"/>
    <w:pPr>
      <w:keepNext/>
      <w:spacing w:after="120"/>
    </w:pPr>
    <w:rPr>
      <w:sz w:val="16"/>
    </w:rPr>
  </w:style>
  <w:style w:type="paragraph" w:customStyle="1" w:styleId="FigureTitle">
    <w:name w:val="FigureTitle"/>
    <w:basedOn w:val="Normal"/>
    <w:qFormat/>
    <w:rsid w:val="00DB7D16"/>
    <w:pPr>
      <w:spacing w:before="360"/>
    </w:pPr>
    <w:rPr>
      <w:b/>
    </w:rPr>
  </w:style>
  <w:style w:type="character" w:customStyle="1" w:styleId="Bullet1Char">
    <w:name w:val="Bullet 1 Char"/>
    <w:basedOn w:val="DefaultParagraphFont"/>
    <w:link w:val="Bullet1"/>
    <w:locked/>
    <w:rsid w:val="003811EE"/>
    <w:rPr>
      <w:rFonts w:ascii="Segoe UI Semilight" w:eastAsiaTheme="minorHAnsi" w:hAnsi="Segoe UI Semilight" w:cstheme="minorBidi"/>
      <w:bCs/>
      <w:sz w:val="20"/>
    </w:rPr>
  </w:style>
  <w:style w:type="paragraph" w:styleId="Caption">
    <w:name w:val="caption"/>
    <w:basedOn w:val="Normal"/>
    <w:next w:val="Normal"/>
    <w:uiPriority w:val="35"/>
    <w:unhideWhenUsed/>
    <w:qFormat/>
    <w:rsid w:val="00831530"/>
    <w:pPr>
      <w:spacing w:after="200"/>
      <w:jc w:val="both"/>
    </w:pPr>
    <w:rPr>
      <w:rFonts w:ascii="Arial" w:hAnsi="Arial" w:cs="Arial"/>
      <w:b/>
      <w:bCs/>
      <w:color w:val="4F81BD" w:themeColor="accent1"/>
      <w:sz w:val="18"/>
      <w:szCs w:val="18"/>
    </w:rPr>
  </w:style>
  <w:style w:type="paragraph" w:styleId="BalloonText">
    <w:name w:val="Balloon Text"/>
    <w:basedOn w:val="Normal"/>
    <w:link w:val="BalloonTextChar"/>
    <w:uiPriority w:val="99"/>
    <w:semiHidden/>
    <w:unhideWhenUsed/>
    <w:rsid w:val="00357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C22"/>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782ABD"/>
    <w:rPr>
      <w:color w:val="605E5C"/>
      <w:shd w:val="clear" w:color="auto" w:fill="E1DFDD"/>
    </w:rPr>
  </w:style>
  <w:style w:type="table" w:styleId="TableGrid">
    <w:name w:val="Table Grid"/>
    <w:basedOn w:val="TableNormal"/>
    <w:uiPriority w:val="39"/>
    <w:rsid w:val="001172B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7CF"/>
    <w:pPr>
      <w:spacing w:after="200" w:line="276" w:lineRule="auto"/>
      <w:ind w:left="720"/>
      <w:contextualSpacing/>
      <w:jc w:val="both"/>
    </w:pPr>
    <w:rPr>
      <w:rFonts w:ascii="Arial" w:hAnsi="Arial" w:cs="Arial"/>
      <w:sz w:val="24"/>
      <w:szCs w:val="24"/>
    </w:rPr>
  </w:style>
  <w:style w:type="paragraph" w:customStyle="1" w:styleId="Default">
    <w:name w:val="Default"/>
    <w:rsid w:val="00FD0A9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289">
      <w:bodyDiv w:val="1"/>
      <w:marLeft w:val="0"/>
      <w:marRight w:val="0"/>
      <w:marTop w:val="0"/>
      <w:marBottom w:val="0"/>
      <w:divBdr>
        <w:top w:val="none" w:sz="0" w:space="0" w:color="auto"/>
        <w:left w:val="none" w:sz="0" w:space="0" w:color="auto"/>
        <w:bottom w:val="none" w:sz="0" w:space="0" w:color="auto"/>
        <w:right w:val="none" w:sz="0" w:space="0" w:color="auto"/>
      </w:divBdr>
      <w:divsChild>
        <w:div w:id="454104970">
          <w:marLeft w:val="0"/>
          <w:marRight w:val="0"/>
          <w:marTop w:val="0"/>
          <w:marBottom w:val="0"/>
          <w:divBdr>
            <w:top w:val="none" w:sz="0" w:space="0" w:color="auto"/>
            <w:left w:val="none" w:sz="0" w:space="0" w:color="auto"/>
            <w:bottom w:val="none" w:sz="0" w:space="0" w:color="auto"/>
            <w:right w:val="none" w:sz="0" w:space="0" w:color="auto"/>
          </w:divBdr>
        </w:div>
        <w:div w:id="578977697">
          <w:marLeft w:val="0"/>
          <w:marRight w:val="0"/>
          <w:marTop w:val="0"/>
          <w:marBottom w:val="0"/>
          <w:divBdr>
            <w:top w:val="none" w:sz="0" w:space="0" w:color="auto"/>
            <w:left w:val="none" w:sz="0" w:space="0" w:color="auto"/>
            <w:bottom w:val="none" w:sz="0" w:space="0" w:color="auto"/>
            <w:right w:val="none" w:sz="0" w:space="0" w:color="auto"/>
          </w:divBdr>
        </w:div>
        <w:div w:id="1585529869">
          <w:marLeft w:val="0"/>
          <w:marRight w:val="0"/>
          <w:marTop w:val="0"/>
          <w:marBottom w:val="0"/>
          <w:divBdr>
            <w:top w:val="none" w:sz="0" w:space="0" w:color="auto"/>
            <w:left w:val="none" w:sz="0" w:space="0" w:color="auto"/>
            <w:bottom w:val="none" w:sz="0" w:space="0" w:color="auto"/>
            <w:right w:val="none" w:sz="0" w:space="0" w:color="auto"/>
          </w:divBdr>
        </w:div>
        <w:div w:id="1390500517">
          <w:marLeft w:val="0"/>
          <w:marRight w:val="0"/>
          <w:marTop w:val="0"/>
          <w:marBottom w:val="0"/>
          <w:divBdr>
            <w:top w:val="none" w:sz="0" w:space="0" w:color="auto"/>
            <w:left w:val="none" w:sz="0" w:space="0" w:color="auto"/>
            <w:bottom w:val="none" w:sz="0" w:space="0" w:color="auto"/>
            <w:right w:val="none" w:sz="0" w:space="0" w:color="auto"/>
          </w:divBdr>
        </w:div>
        <w:div w:id="2435031">
          <w:marLeft w:val="0"/>
          <w:marRight w:val="0"/>
          <w:marTop w:val="0"/>
          <w:marBottom w:val="0"/>
          <w:divBdr>
            <w:top w:val="none" w:sz="0" w:space="0" w:color="auto"/>
            <w:left w:val="none" w:sz="0" w:space="0" w:color="auto"/>
            <w:bottom w:val="none" w:sz="0" w:space="0" w:color="auto"/>
            <w:right w:val="none" w:sz="0" w:space="0" w:color="auto"/>
          </w:divBdr>
        </w:div>
      </w:divsChild>
    </w:div>
    <w:div w:id="44839977">
      <w:bodyDiv w:val="1"/>
      <w:marLeft w:val="0"/>
      <w:marRight w:val="0"/>
      <w:marTop w:val="0"/>
      <w:marBottom w:val="0"/>
      <w:divBdr>
        <w:top w:val="none" w:sz="0" w:space="0" w:color="auto"/>
        <w:left w:val="none" w:sz="0" w:space="0" w:color="auto"/>
        <w:bottom w:val="none" w:sz="0" w:space="0" w:color="auto"/>
        <w:right w:val="none" w:sz="0" w:space="0" w:color="auto"/>
      </w:divBdr>
      <w:divsChild>
        <w:div w:id="1911651760">
          <w:marLeft w:val="0"/>
          <w:marRight w:val="0"/>
          <w:marTop w:val="0"/>
          <w:marBottom w:val="0"/>
          <w:divBdr>
            <w:top w:val="none" w:sz="0" w:space="0" w:color="auto"/>
            <w:left w:val="none" w:sz="0" w:space="0" w:color="auto"/>
            <w:bottom w:val="none" w:sz="0" w:space="0" w:color="auto"/>
            <w:right w:val="none" w:sz="0" w:space="0" w:color="auto"/>
          </w:divBdr>
          <w:divsChild>
            <w:div w:id="1111364218">
              <w:marLeft w:val="0"/>
              <w:marRight w:val="0"/>
              <w:marTop w:val="0"/>
              <w:marBottom w:val="0"/>
              <w:divBdr>
                <w:top w:val="none" w:sz="0" w:space="0" w:color="auto"/>
                <w:left w:val="none" w:sz="0" w:space="0" w:color="auto"/>
                <w:bottom w:val="none" w:sz="0" w:space="0" w:color="auto"/>
                <w:right w:val="none" w:sz="0" w:space="0" w:color="auto"/>
              </w:divBdr>
              <w:divsChild>
                <w:div w:id="459347264">
                  <w:marLeft w:val="0"/>
                  <w:marRight w:val="0"/>
                  <w:marTop w:val="450"/>
                  <w:marBottom w:val="0"/>
                  <w:divBdr>
                    <w:top w:val="single" w:sz="6" w:space="0" w:color="EBEBEB"/>
                    <w:left w:val="none" w:sz="0" w:space="0" w:color="auto"/>
                    <w:bottom w:val="none" w:sz="0" w:space="0" w:color="auto"/>
                    <w:right w:val="none" w:sz="0" w:space="0" w:color="auto"/>
                  </w:divBdr>
                  <w:divsChild>
                    <w:div w:id="597953307">
                      <w:marLeft w:val="0"/>
                      <w:marRight w:val="0"/>
                      <w:marTop w:val="0"/>
                      <w:marBottom w:val="0"/>
                      <w:divBdr>
                        <w:top w:val="none" w:sz="0" w:space="0" w:color="auto"/>
                        <w:left w:val="none" w:sz="0" w:space="0" w:color="auto"/>
                        <w:bottom w:val="none" w:sz="0" w:space="0" w:color="auto"/>
                        <w:right w:val="none" w:sz="0" w:space="0" w:color="auto"/>
                      </w:divBdr>
                      <w:divsChild>
                        <w:div w:id="1099176873">
                          <w:marLeft w:val="0"/>
                          <w:marRight w:val="0"/>
                          <w:marTop w:val="0"/>
                          <w:marBottom w:val="0"/>
                          <w:divBdr>
                            <w:top w:val="none" w:sz="0" w:space="0" w:color="auto"/>
                            <w:left w:val="none" w:sz="0" w:space="0" w:color="auto"/>
                            <w:bottom w:val="none" w:sz="0" w:space="0" w:color="auto"/>
                            <w:right w:val="none" w:sz="0" w:space="0" w:color="auto"/>
                          </w:divBdr>
                          <w:divsChild>
                            <w:div w:id="9573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9387">
      <w:bodyDiv w:val="1"/>
      <w:marLeft w:val="0"/>
      <w:marRight w:val="0"/>
      <w:marTop w:val="0"/>
      <w:marBottom w:val="0"/>
      <w:divBdr>
        <w:top w:val="none" w:sz="0" w:space="0" w:color="auto"/>
        <w:left w:val="none" w:sz="0" w:space="0" w:color="auto"/>
        <w:bottom w:val="none" w:sz="0" w:space="0" w:color="auto"/>
        <w:right w:val="none" w:sz="0" w:space="0" w:color="auto"/>
      </w:divBdr>
    </w:div>
    <w:div w:id="176893892">
      <w:bodyDiv w:val="1"/>
      <w:marLeft w:val="0"/>
      <w:marRight w:val="0"/>
      <w:marTop w:val="0"/>
      <w:marBottom w:val="0"/>
      <w:divBdr>
        <w:top w:val="none" w:sz="0" w:space="0" w:color="auto"/>
        <w:left w:val="none" w:sz="0" w:space="0" w:color="auto"/>
        <w:bottom w:val="none" w:sz="0" w:space="0" w:color="auto"/>
        <w:right w:val="none" w:sz="0" w:space="0" w:color="auto"/>
      </w:divBdr>
    </w:div>
    <w:div w:id="790517857">
      <w:bodyDiv w:val="1"/>
      <w:marLeft w:val="0"/>
      <w:marRight w:val="0"/>
      <w:marTop w:val="0"/>
      <w:marBottom w:val="0"/>
      <w:divBdr>
        <w:top w:val="none" w:sz="0" w:space="0" w:color="auto"/>
        <w:left w:val="none" w:sz="0" w:space="0" w:color="auto"/>
        <w:bottom w:val="none" w:sz="0" w:space="0" w:color="auto"/>
        <w:right w:val="none" w:sz="0" w:space="0" w:color="auto"/>
      </w:divBdr>
      <w:divsChild>
        <w:div w:id="1241333112">
          <w:marLeft w:val="0"/>
          <w:marRight w:val="0"/>
          <w:marTop w:val="0"/>
          <w:marBottom w:val="0"/>
          <w:divBdr>
            <w:top w:val="none" w:sz="0" w:space="0" w:color="auto"/>
            <w:left w:val="none" w:sz="0" w:space="0" w:color="auto"/>
            <w:bottom w:val="none" w:sz="0" w:space="0" w:color="auto"/>
            <w:right w:val="none" w:sz="0" w:space="0" w:color="auto"/>
          </w:divBdr>
          <w:divsChild>
            <w:div w:id="1088307590">
              <w:marLeft w:val="0"/>
              <w:marRight w:val="0"/>
              <w:marTop w:val="0"/>
              <w:marBottom w:val="0"/>
              <w:divBdr>
                <w:top w:val="none" w:sz="0" w:space="0" w:color="auto"/>
                <w:left w:val="none" w:sz="0" w:space="0" w:color="auto"/>
                <w:bottom w:val="none" w:sz="0" w:space="0" w:color="auto"/>
                <w:right w:val="none" w:sz="0" w:space="0" w:color="auto"/>
              </w:divBdr>
              <w:divsChild>
                <w:div w:id="825587802">
                  <w:marLeft w:val="0"/>
                  <w:marRight w:val="0"/>
                  <w:marTop w:val="0"/>
                  <w:marBottom w:val="0"/>
                  <w:divBdr>
                    <w:top w:val="none" w:sz="0" w:space="0" w:color="auto"/>
                    <w:left w:val="none" w:sz="0" w:space="0" w:color="auto"/>
                    <w:bottom w:val="none" w:sz="0" w:space="0" w:color="auto"/>
                    <w:right w:val="none" w:sz="0" w:space="0" w:color="auto"/>
                  </w:divBdr>
                  <w:divsChild>
                    <w:div w:id="677469128">
                      <w:marLeft w:val="0"/>
                      <w:marRight w:val="0"/>
                      <w:marTop w:val="0"/>
                      <w:marBottom w:val="0"/>
                      <w:divBdr>
                        <w:top w:val="none" w:sz="0" w:space="0" w:color="auto"/>
                        <w:left w:val="none" w:sz="0" w:space="0" w:color="auto"/>
                        <w:bottom w:val="none" w:sz="0" w:space="0" w:color="auto"/>
                        <w:right w:val="none" w:sz="0" w:space="0" w:color="auto"/>
                      </w:divBdr>
                      <w:divsChild>
                        <w:div w:id="545601120">
                          <w:marLeft w:val="0"/>
                          <w:marRight w:val="0"/>
                          <w:marTop w:val="0"/>
                          <w:marBottom w:val="0"/>
                          <w:divBdr>
                            <w:top w:val="none" w:sz="0" w:space="0" w:color="auto"/>
                            <w:left w:val="none" w:sz="0" w:space="0" w:color="auto"/>
                            <w:bottom w:val="none" w:sz="0" w:space="0" w:color="auto"/>
                            <w:right w:val="none" w:sz="0" w:space="0" w:color="auto"/>
                          </w:divBdr>
                          <w:divsChild>
                            <w:div w:id="537469775">
                              <w:marLeft w:val="0"/>
                              <w:marRight w:val="0"/>
                              <w:marTop w:val="0"/>
                              <w:marBottom w:val="0"/>
                              <w:divBdr>
                                <w:top w:val="none" w:sz="0" w:space="0" w:color="auto"/>
                                <w:left w:val="none" w:sz="0" w:space="0" w:color="auto"/>
                                <w:bottom w:val="none" w:sz="0" w:space="0" w:color="auto"/>
                                <w:right w:val="none" w:sz="0" w:space="0" w:color="auto"/>
                              </w:divBdr>
                              <w:divsChild>
                                <w:div w:id="11497237">
                                  <w:marLeft w:val="0"/>
                                  <w:marRight w:val="0"/>
                                  <w:marTop w:val="0"/>
                                  <w:marBottom w:val="0"/>
                                  <w:divBdr>
                                    <w:top w:val="none" w:sz="0" w:space="0" w:color="auto"/>
                                    <w:left w:val="none" w:sz="0" w:space="0" w:color="auto"/>
                                    <w:bottom w:val="none" w:sz="0" w:space="0" w:color="auto"/>
                                    <w:right w:val="none" w:sz="0" w:space="0" w:color="auto"/>
                                  </w:divBdr>
                                  <w:divsChild>
                                    <w:div w:id="502667035">
                                      <w:marLeft w:val="0"/>
                                      <w:marRight w:val="0"/>
                                      <w:marTop w:val="0"/>
                                      <w:marBottom w:val="0"/>
                                      <w:divBdr>
                                        <w:top w:val="none" w:sz="0" w:space="0" w:color="auto"/>
                                        <w:left w:val="none" w:sz="0" w:space="0" w:color="auto"/>
                                        <w:bottom w:val="none" w:sz="0" w:space="0" w:color="auto"/>
                                        <w:right w:val="none" w:sz="0" w:space="0" w:color="auto"/>
                                      </w:divBdr>
                                      <w:divsChild>
                                        <w:div w:id="6811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91606">
      <w:bodyDiv w:val="1"/>
      <w:marLeft w:val="0"/>
      <w:marRight w:val="0"/>
      <w:marTop w:val="0"/>
      <w:marBottom w:val="0"/>
      <w:divBdr>
        <w:top w:val="none" w:sz="0" w:space="0" w:color="auto"/>
        <w:left w:val="none" w:sz="0" w:space="0" w:color="auto"/>
        <w:bottom w:val="none" w:sz="0" w:space="0" w:color="auto"/>
        <w:right w:val="none" w:sz="0" w:space="0" w:color="auto"/>
      </w:divBdr>
      <w:divsChild>
        <w:div w:id="67506238">
          <w:marLeft w:val="0"/>
          <w:marRight w:val="0"/>
          <w:marTop w:val="0"/>
          <w:marBottom w:val="0"/>
          <w:divBdr>
            <w:top w:val="none" w:sz="0" w:space="0" w:color="auto"/>
            <w:left w:val="none" w:sz="0" w:space="0" w:color="auto"/>
            <w:bottom w:val="none" w:sz="0" w:space="0" w:color="auto"/>
            <w:right w:val="none" w:sz="0" w:space="0" w:color="auto"/>
          </w:divBdr>
          <w:divsChild>
            <w:div w:id="1333217709">
              <w:marLeft w:val="0"/>
              <w:marRight w:val="0"/>
              <w:marTop w:val="0"/>
              <w:marBottom w:val="0"/>
              <w:divBdr>
                <w:top w:val="none" w:sz="0" w:space="0" w:color="auto"/>
                <w:left w:val="none" w:sz="0" w:space="0" w:color="auto"/>
                <w:bottom w:val="none" w:sz="0" w:space="0" w:color="auto"/>
                <w:right w:val="none" w:sz="0" w:space="0" w:color="auto"/>
              </w:divBdr>
              <w:divsChild>
                <w:div w:id="970017889">
                  <w:marLeft w:val="0"/>
                  <w:marRight w:val="0"/>
                  <w:marTop w:val="450"/>
                  <w:marBottom w:val="0"/>
                  <w:divBdr>
                    <w:top w:val="single" w:sz="6" w:space="0" w:color="EBEBEB"/>
                    <w:left w:val="none" w:sz="0" w:space="0" w:color="auto"/>
                    <w:bottom w:val="none" w:sz="0" w:space="0" w:color="auto"/>
                    <w:right w:val="none" w:sz="0" w:space="0" w:color="auto"/>
                  </w:divBdr>
                  <w:divsChild>
                    <w:div w:id="909584255">
                      <w:marLeft w:val="0"/>
                      <w:marRight w:val="0"/>
                      <w:marTop w:val="0"/>
                      <w:marBottom w:val="0"/>
                      <w:divBdr>
                        <w:top w:val="none" w:sz="0" w:space="0" w:color="auto"/>
                        <w:left w:val="none" w:sz="0" w:space="0" w:color="auto"/>
                        <w:bottom w:val="none" w:sz="0" w:space="0" w:color="auto"/>
                        <w:right w:val="none" w:sz="0" w:space="0" w:color="auto"/>
                      </w:divBdr>
                      <w:divsChild>
                        <w:div w:id="703679304">
                          <w:marLeft w:val="0"/>
                          <w:marRight w:val="0"/>
                          <w:marTop w:val="0"/>
                          <w:marBottom w:val="0"/>
                          <w:divBdr>
                            <w:top w:val="none" w:sz="0" w:space="0" w:color="auto"/>
                            <w:left w:val="none" w:sz="0" w:space="0" w:color="auto"/>
                            <w:bottom w:val="none" w:sz="0" w:space="0" w:color="auto"/>
                            <w:right w:val="none" w:sz="0" w:space="0" w:color="auto"/>
                          </w:divBdr>
                          <w:divsChild>
                            <w:div w:id="519590438">
                              <w:marLeft w:val="0"/>
                              <w:marRight w:val="0"/>
                              <w:marTop w:val="0"/>
                              <w:marBottom w:val="0"/>
                              <w:divBdr>
                                <w:top w:val="none" w:sz="0" w:space="0" w:color="auto"/>
                                <w:left w:val="none" w:sz="0" w:space="0" w:color="auto"/>
                                <w:bottom w:val="none" w:sz="0" w:space="0" w:color="auto"/>
                                <w:right w:val="none" w:sz="0" w:space="0" w:color="auto"/>
                              </w:divBdr>
                              <w:divsChild>
                                <w:div w:id="17078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530942">
      <w:bodyDiv w:val="1"/>
      <w:marLeft w:val="0"/>
      <w:marRight w:val="0"/>
      <w:marTop w:val="0"/>
      <w:marBottom w:val="0"/>
      <w:divBdr>
        <w:top w:val="none" w:sz="0" w:space="0" w:color="auto"/>
        <w:left w:val="none" w:sz="0" w:space="0" w:color="auto"/>
        <w:bottom w:val="none" w:sz="0" w:space="0" w:color="auto"/>
        <w:right w:val="none" w:sz="0" w:space="0" w:color="auto"/>
      </w:divBdr>
    </w:div>
    <w:div w:id="1323125551">
      <w:bodyDiv w:val="1"/>
      <w:marLeft w:val="0"/>
      <w:marRight w:val="0"/>
      <w:marTop w:val="0"/>
      <w:marBottom w:val="0"/>
      <w:divBdr>
        <w:top w:val="none" w:sz="0" w:space="0" w:color="auto"/>
        <w:left w:val="none" w:sz="0" w:space="0" w:color="auto"/>
        <w:bottom w:val="none" w:sz="0" w:space="0" w:color="auto"/>
        <w:right w:val="none" w:sz="0" w:space="0" w:color="auto"/>
      </w:divBdr>
      <w:divsChild>
        <w:div w:id="8801924">
          <w:marLeft w:val="0"/>
          <w:marRight w:val="0"/>
          <w:marTop w:val="0"/>
          <w:marBottom w:val="0"/>
          <w:divBdr>
            <w:top w:val="none" w:sz="0" w:space="0" w:color="auto"/>
            <w:left w:val="none" w:sz="0" w:space="0" w:color="auto"/>
            <w:bottom w:val="none" w:sz="0" w:space="0" w:color="auto"/>
            <w:right w:val="none" w:sz="0" w:space="0" w:color="auto"/>
          </w:divBdr>
          <w:divsChild>
            <w:div w:id="1259870513">
              <w:marLeft w:val="0"/>
              <w:marRight w:val="0"/>
              <w:marTop w:val="0"/>
              <w:marBottom w:val="0"/>
              <w:divBdr>
                <w:top w:val="none" w:sz="0" w:space="0" w:color="auto"/>
                <w:left w:val="none" w:sz="0" w:space="0" w:color="auto"/>
                <w:bottom w:val="none" w:sz="0" w:space="0" w:color="auto"/>
                <w:right w:val="none" w:sz="0" w:space="0" w:color="auto"/>
              </w:divBdr>
              <w:divsChild>
                <w:div w:id="1936358944">
                  <w:marLeft w:val="0"/>
                  <w:marRight w:val="0"/>
                  <w:marTop w:val="450"/>
                  <w:marBottom w:val="0"/>
                  <w:divBdr>
                    <w:top w:val="single" w:sz="6" w:space="0" w:color="EBEBEB"/>
                    <w:left w:val="none" w:sz="0" w:space="0" w:color="auto"/>
                    <w:bottom w:val="none" w:sz="0" w:space="0" w:color="auto"/>
                    <w:right w:val="none" w:sz="0" w:space="0" w:color="auto"/>
                  </w:divBdr>
                  <w:divsChild>
                    <w:div w:id="1496340959">
                      <w:marLeft w:val="0"/>
                      <w:marRight w:val="0"/>
                      <w:marTop w:val="0"/>
                      <w:marBottom w:val="0"/>
                      <w:divBdr>
                        <w:top w:val="none" w:sz="0" w:space="0" w:color="auto"/>
                        <w:left w:val="none" w:sz="0" w:space="0" w:color="auto"/>
                        <w:bottom w:val="none" w:sz="0" w:space="0" w:color="auto"/>
                        <w:right w:val="none" w:sz="0" w:space="0" w:color="auto"/>
                      </w:divBdr>
                      <w:divsChild>
                        <w:div w:id="676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360768">
      <w:bodyDiv w:val="1"/>
      <w:marLeft w:val="0"/>
      <w:marRight w:val="0"/>
      <w:marTop w:val="0"/>
      <w:marBottom w:val="0"/>
      <w:divBdr>
        <w:top w:val="none" w:sz="0" w:space="0" w:color="auto"/>
        <w:left w:val="none" w:sz="0" w:space="0" w:color="auto"/>
        <w:bottom w:val="none" w:sz="0" w:space="0" w:color="auto"/>
        <w:right w:val="none" w:sz="0" w:space="0" w:color="auto"/>
      </w:divBdr>
    </w:div>
    <w:div w:id="1390616767">
      <w:bodyDiv w:val="1"/>
      <w:marLeft w:val="0"/>
      <w:marRight w:val="0"/>
      <w:marTop w:val="0"/>
      <w:marBottom w:val="0"/>
      <w:divBdr>
        <w:top w:val="none" w:sz="0" w:space="0" w:color="auto"/>
        <w:left w:val="none" w:sz="0" w:space="0" w:color="auto"/>
        <w:bottom w:val="none" w:sz="0" w:space="0" w:color="auto"/>
        <w:right w:val="none" w:sz="0" w:space="0" w:color="auto"/>
      </w:divBdr>
    </w:div>
    <w:div w:id="1547983657">
      <w:bodyDiv w:val="1"/>
      <w:marLeft w:val="0"/>
      <w:marRight w:val="0"/>
      <w:marTop w:val="0"/>
      <w:marBottom w:val="0"/>
      <w:divBdr>
        <w:top w:val="none" w:sz="0" w:space="0" w:color="auto"/>
        <w:left w:val="none" w:sz="0" w:space="0" w:color="auto"/>
        <w:bottom w:val="none" w:sz="0" w:space="0" w:color="auto"/>
        <w:right w:val="none" w:sz="0" w:space="0" w:color="auto"/>
      </w:divBdr>
    </w:div>
    <w:div w:id="1690837689">
      <w:bodyDiv w:val="1"/>
      <w:marLeft w:val="0"/>
      <w:marRight w:val="0"/>
      <w:marTop w:val="0"/>
      <w:marBottom w:val="0"/>
      <w:divBdr>
        <w:top w:val="none" w:sz="0" w:space="0" w:color="auto"/>
        <w:left w:val="none" w:sz="0" w:space="0" w:color="auto"/>
        <w:bottom w:val="none" w:sz="0" w:space="0" w:color="auto"/>
        <w:right w:val="none" w:sz="0" w:space="0" w:color="auto"/>
      </w:divBdr>
    </w:div>
    <w:div w:id="1749502963">
      <w:bodyDiv w:val="1"/>
      <w:marLeft w:val="0"/>
      <w:marRight w:val="0"/>
      <w:marTop w:val="0"/>
      <w:marBottom w:val="0"/>
      <w:divBdr>
        <w:top w:val="none" w:sz="0" w:space="0" w:color="auto"/>
        <w:left w:val="none" w:sz="0" w:space="0" w:color="auto"/>
        <w:bottom w:val="none" w:sz="0" w:space="0" w:color="auto"/>
        <w:right w:val="none" w:sz="0" w:space="0" w:color="auto"/>
      </w:divBdr>
    </w:div>
    <w:div w:id="1957323476">
      <w:bodyDiv w:val="1"/>
      <w:marLeft w:val="0"/>
      <w:marRight w:val="0"/>
      <w:marTop w:val="0"/>
      <w:marBottom w:val="0"/>
      <w:divBdr>
        <w:top w:val="none" w:sz="0" w:space="0" w:color="auto"/>
        <w:left w:val="none" w:sz="0" w:space="0" w:color="auto"/>
        <w:bottom w:val="none" w:sz="0" w:space="0" w:color="auto"/>
        <w:right w:val="none" w:sz="0" w:space="0" w:color="auto"/>
      </w:divBdr>
      <w:divsChild>
        <w:div w:id="1830513522">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665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ire.ca.gov/treetaskfor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re.ca.gov/treetaskfor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ca.gov/docs/10.30.15_Tree_Mortality_State_of_Emergency.pdf"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A57B-0661-49CE-940F-0BFAC60D1AD6}">
  <ds:schemaRefs>
    <ds:schemaRef ds:uri="http://schemas.openxmlformats.org/officeDocument/2006/bibliography"/>
  </ds:schemaRefs>
</ds:datastoreItem>
</file>

<file path=customXml/itemProps2.xml><?xml version="1.0" encoding="utf-8"?>
<ds:datastoreItem xmlns:ds="http://schemas.openxmlformats.org/officeDocument/2006/customXml" ds:itemID="{40970A18-34EC-414E-8917-C32E37D6DCC0}">
  <ds:schemaRefs>
    <ds:schemaRef ds:uri="http://schemas.openxmlformats.org/officeDocument/2006/bibliography"/>
  </ds:schemaRefs>
</ds:datastoreItem>
</file>

<file path=customXml/itemProps3.xml><?xml version="1.0" encoding="utf-8"?>
<ds:datastoreItem xmlns:ds="http://schemas.openxmlformats.org/officeDocument/2006/customXml" ds:itemID="{40AFA290-5373-4A80-A641-0D272A8AAF48}">
  <ds:schemaRefs>
    <ds:schemaRef ds:uri="http://schemas.openxmlformats.org/officeDocument/2006/bibliography"/>
  </ds:schemaRefs>
</ds:datastoreItem>
</file>

<file path=customXml/itemProps4.xml><?xml version="1.0" encoding="utf-8"?>
<ds:datastoreItem xmlns:ds="http://schemas.openxmlformats.org/officeDocument/2006/customXml" ds:itemID="{4612DC01-1557-440C-A97C-30DE59462D52}">
  <ds:schemaRefs>
    <ds:schemaRef ds:uri="http://schemas.openxmlformats.org/officeDocument/2006/bibliography"/>
  </ds:schemaRefs>
</ds:datastoreItem>
</file>

<file path=customXml/itemProps5.xml><?xml version="1.0" encoding="utf-8"?>
<ds:datastoreItem xmlns:ds="http://schemas.openxmlformats.org/officeDocument/2006/customXml" ds:itemID="{B0F23D0E-554C-47C3-96D4-09A373A3D3B1}">
  <ds:schemaRefs>
    <ds:schemaRef ds:uri="http://schemas.openxmlformats.org/officeDocument/2006/bibliography"/>
  </ds:schemaRefs>
</ds:datastoreItem>
</file>

<file path=customXml/itemProps6.xml><?xml version="1.0" encoding="utf-8"?>
<ds:datastoreItem xmlns:ds="http://schemas.openxmlformats.org/officeDocument/2006/customXml" ds:itemID="{370CA2D8-4AF4-4626-A03F-EFAEA24C9CDC}">
  <ds:schemaRefs>
    <ds:schemaRef ds:uri="http://schemas.openxmlformats.org/officeDocument/2006/bibliography"/>
  </ds:schemaRefs>
</ds:datastoreItem>
</file>

<file path=customXml/itemProps7.xml><?xml version="1.0" encoding="utf-8"?>
<ds:datastoreItem xmlns:ds="http://schemas.openxmlformats.org/officeDocument/2006/customXml" ds:itemID="{57810108-95F9-4BD0-BB8D-40CDBF7EF47D}">
  <ds:schemaRefs>
    <ds:schemaRef ds:uri="http://schemas.openxmlformats.org/officeDocument/2006/bibliography"/>
  </ds:schemaRefs>
</ds:datastoreItem>
</file>

<file path=customXml/itemProps8.xml><?xml version="1.0" encoding="utf-8"?>
<ds:datastoreItem xmlns:ds="http://schemas.openxmlformats.org/officeDocument/2006/customXml" ds:itemID="{54D04736-22DD-442D-808C-EF3B8329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18999</Words>
  <Characters>108299</Characters>
  <Application>Microsoft Office Word</Application>
  <DocSecurity>8</DocSecurity>
  <PresentationFormat/>
  <Lines>902</Lines>
  <Paragraphs>254</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Manager/>
  <Company/>
  <LinksUpToDate>false</LinksUpToDate>
  <CharactersWithSpaces>127044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
  <cp:keywords>California Vegetation Treatment Program, CAL FIRE, Board of Forestry, VTP</cp:keywords>
  <cp:lastModifiedBy/>
  <cp:revision>1</cp:revision>
  <dcterms:created xsi:type="dcterms:W3CDTF">2019-11-25T22:44:00Z</dcterms:created>
  <dcterms:modified xsi:type="dcterms:W3CDTF">2019-11-27T17:03:00Z</dcterms:modified>
</cp:coreProperties>
</file>