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FC61" w14:textId="77777777" w:rsidR="003D16EF" w:rsidRDefault="003D16EF" w:rsidP="003D16EF">
      <w:pPr>
        <w:rPr>
          <w:color w:val="FFFFFF" w:themeColor="background1"/>
        </w:rPr>
      </w:pPr>
      <w:bookmarkStart w:id="0" w:name="_Toc11756368"/>
      <w:bookmarkStart w:id="1" w:name="_GoBack"/>
      <w:bookmarkEnd w:id="1"/>
      <w:r>
        <w:rPr>
          <w:color w:val="FFFFFF" w:themeColor="background1"/>
        </w:rPr>
        <w:t>Please adjust your screen reader settings to recognize underline and strikethrough text.</w:t>
      </w:r>
    </w:p>
    <w:p w14:paraId="46062226" w14:textId="3DE8421D" w:rsidR="00BE2039" w:rsidRDefault="00D31347" w:rsidP="00D31347">
      <w:pPr>
        <w:pStyle w:val="Heading2"/>
      </w:pPr>
      <w:r>
        <w:t>Noise</w:t>
      </w:r>
      <w:bookmarkEnd w:id="0"/>
    </w:p>
    <w:p w14:paraId="565FAE16" w14:textId="647A15D9" w:rsidR="00BB1612" w:rsidRDefault="00BB1612" w:rsidP="00BB1612">
      <w:pPr>
        <w:pStyle w:val="BodyText"/>
      </w:pPr>
      <w:bookmarkStart w:id="2" w:name="_Toc355867097"/>
      <w:r>
        <w:t>This section descri</w:t>
      </w:r>
      <w:r w:rsidR="00614EBB">
        <w:t>bes</w:t>
      </w:r>
      <w:r>
        <w:t xml:space="preserve"> ambient-noise conditions, </w:t>
      </w:r>
      <w:r w:rsidR="00614EBB">
        <w:t xml:space="preserve">identifies applicable regulations related to noise and vibration, </w:t>
      </w:r>
      <w:r w:rsidR="00614EBB" w:rsidRPr="00C33898">
        <w:rPr>
          <w:spacing w:val="-2"/>
        </w:rPr>
        <w:t>the methods used for assessment,</w:t>
      </w:r>
      <w:r w:rsidR="00614EBB">
        <w:rPr>
          <w:spacing w:val="-2"/>
        </w:rPr>
        <w:t xml:space="preserve"> and</w:t>
      </w:r>
      <w:r w:rsidR="00614EBB" w:rsidRPr="00C33898">
        <w:rPr>
          <w:spacing w:val="-2"/>
        </w:rPr>
        <w:t xml:space="preserve"> the potential direct and indirect impacts of </w:t>
      </w:r>
      <w:r w:rsidR="00614EBB">
        <w:rPr>
          <w:spacing w:val="-2"/>
        </w:rPr>
        <w:t>program</w:t>
      </w:r>
      <w:r w:rsidR="00614EBB" w:rsidRPr="00C33898">
        <w:rPr>
          <w:spacing w:val="-2"/>
        </w:rPr>
        <w:t xml:space="preserve"> implementation</w:t>
      </w:r>
      <w:r w:rsidR="00614EBB">
        <w:rPr>
          <w:spacing w:val="-2"/>
        </w:rPr>
        <w:t xml:space="preserve"> related to noise</w:t>
      </w:r>
      <w:r w:rsidR="00E84089">
        <w:rPr>
          <w:spacing w:val="-2"/>
        </w:rPr>
        <w:t>.</w:t>
      </w:r>
      <w:r w:rsidR="00614EBB">
        <w:t xml:space="preserve"> </w:t>
      </w:r>
      <w:bookmarkEnd w:id="2"/>
      <w:r w:rsidR="00F706B9" w:rsidRPr="00580953">
        <w:t xml:space="preserve">Additional data </w:t>
      </w:r>
      <w:r w:rsidR="00EB5042">
        <w:t xml:space="preserve">are </w:t>
      </w:r>
      <w:r w:rsidR="00F706B9" w:rsidRPr="00580953">
        <w:t xml:space="preserve">provided in Appendix </w:t>
      </w:r>
      <w:r w:rsidR="00F017E4">
        <w:t>NOI-1</w:t>
      </w:r>
      <w:r w:rsidR="00F706B9" w:rsidRPr="00580953">
        <w:t xml:space="preserve">, </w:t>
      </w:r>
      <w:r w:rsidR="00DF0AA2">
        <w:t>“</w:t>
      </w:r>
      <w:r w:rsidR="00F706B9" w:rsidRPr="00580953">
        <w:t>Noise Measurement Data and Noise Modeling Calculations.</w:t>
      </w:r>
      <w:r w:rsidR="00DF0AA2">
        <w:t>”</w:t>
      </w:r>
    </w:p>
    <w:p w14:paraId="1D5878DE" w14:textId="413B5F96" w:rsidR="00614EBB" w:rsidRDefault="00614EBB" w:rsidP="00BB1612">
      <w:pPr>
        <w:pStyle w:val="BodyText"/>
      </w:pPr>
      <w:bookmarkStart w:id="3" w:name="_Hlk3031724"/>
      <w:r>
        <w:t xml:space="preserve">No comments received on the Notice of Preparation were related to noise and vibration (see Appendix A). </w:t>
      </w:r>
      <w:bookmarkEnd w:id="3"/>
    </w:p>
    <w:p w14:paraId="5F289792" w14:textId="4BA21EDA" w:rsidR="00DF2BED" w:rsidRDefault="00DF2BED" w:rsidP="00BB1612">
      <w:pPr>
        <w:pStyle w:val="Heading3"/>
      </w:pPr>
      <w:r>
        <w:t>Environmental Setting</w:t>
      </w:r>
    </w:p>
    <w:p w14:paraId="2ED482B4" w14:textId="77777777" w:rsidR="00F706B9" w:rsidRPr="00580953" w:rsidRDefault="00F706B9" w:rsidP="00F706B9">
      <w:pPr>
        <w:pStyle w:val="Heading4"/>
      </w:pPr>
      <w:r w:rsidRPr="00580953">
        <w:t>Acoustic Fundamentals</w:t>
      </w:r>
    </w:p>
    <w:p w14:paraId="29A7122D" w14:textId="1B2BFFAE" w:rsidR="00F706B9" w:rsidRPr="00580953" w:rsidRDefault="00614EBB" w:rsidP="00F706B9">
      <w:pPr>
        <w:pStyle w:val="BodyText"/>
        <w:rPr>
          <w:caps/>
        </w:rPr>
      </w:pPr>
      <w:r>
        <w:t>The following provides</w:t>
      </w:r>
      <w:r w:rsidR="00F706B9" w:rsidRPr="00580953">
        <w:t xml:space="preserve"> background information </w:t>
      </w:r>
      <w:r w:rsidR="00F706B9">
        <w:t xml:space="preserve">about </w:t>
      </w:r>
      <w:r w:rsidR="00F706B9" w:rsidRPr="00580953">
        <w:t xml:space="preserve">sound, noise, vibration, and common noise descriptors to </w:t>
      </w:r>
      <w:r>
        <w:t>give</w:t>
      </w:r>
      <w:r w:rsidRPr="00580953">
        <w:t xml:space="preserve"> </w:t>
      </w:r>
      <w:r w:rsidR="00F706B9" w:rsidRPr="00580953">
        <w:t xml:space="preserve">context </w:t>
      </w:r>
      <w:r>
        <w:t xml:space="preserve">to </w:t>
      </w:r>
      <w:r w:rsidR="00F706B9" w:rsidRPr="00580953">
        <w:t xml:space="preserve">and a better understanding of the technical terms </w:t>
      </w:r>
      <w:r>
        <w:t>used</w:t>
      </w:r>
      <w:r w:rsidRPr="00580953">
        <w:t xml:space="preserve"> </w:t>
      </w:r>
      <w:r w:rsidR="00F706B9" w:rsidRPr="00580953">
        <w:t>throughout this section.</w:t>
      </w:r>
    </w:p>
    <w:p w14:paraId="09711993" w14:textId="77777777" w:rsidR="00F706B9" w:rsidRPr="00580953" w:rsidRDefault="00F706B9" w:rsidP="00F706B9">
      <w:pPr>
        <w:pStyle w:val="Heading5"/>
      </w:pPr>
      <w:r w:rsidRPr="00580953">
        <w:t>Sound, Noise, and Acoustics</w:t>
      </w:r>
    </w:p>
    <w:p w14:paraId="52EECBFB" w14:textId="01FC82CB" w:rsidR="00F706B9" w:rsidRPr="00580953" w:rsidRDefault="00F706B9" w:rsidP="00F706B9">
      <w:pPr>
        <w:pStyle w:val="BodyText"/>
      </w:pPr>
      <w:r w:rsidRPr="00580953">
        <w:t xml:space="preserve">Sound </w:t>
      </w:r>
      <w:r w:rsidR="00614EBB">
        <w:t>is</w:t>
      </w:r>
      <w:r w:rsidRPr="00580953">
        <w:t xml:space="preserve"> the mechanical energy of a vibrating object transmitted by pressure waves through a liquid or gaseous medium (e.g., air) to a human ear. Noise is defined as loud, unexpected, annoying</w:t>
      </w:r>
      <w:r>
        <w:t>, or unwanted</w:t>
      </w:r>
      <w:r w:rsidRPr="00580953">
        <w:t xml:space="preserve"> sound.</w:t>
      </w:r>
    </w:p>
    <w:p w14:paraId="2E144323" w14:textId="77777777" w:rsidR="00F706B9" w:rsidRPr="00614EBB" w:rsidRDefault="00F706B9" w:rsidP="00F706B9">
      <w:pPr>
        <w:pStyle w:val="BodyText"/>
      </w:pPr>
      <w:r w:rsidRPr="00614EBB">
        <w:t>In the science of acoustics, the fundamental model consists of a sound (or noise) source, a receiver, and the propagation path between the two. The loudness of the noise source and obstructions or atmospheric factors affecting the propagation path to the receiver determines the sound level and characteristics of the noise perceived by the receiver. The field of acoustics deals primarily with the propagation and control of sound.</w:t>
      </w:r>
      <w:bookmarkStart w:id="4" w:name="_Toc385417734"/>
      <w:bookmarkStart w:id="5" w:name="_Toc378540496"/>
      <w:bookmarkStart w:id="6" w:name="_Toc378540387"/>
      <w:bookmarkStart w:id="7" w:name="_Toc335142369"/>
      <w:bookmarkStart w:id="8" w:name="_Toc189558210"/>
      <w:bookmarkStart w:id="9" w:name="_Toc163368391"/>
    </w:p>
    <w:p w14:paraId="5A605F38" w14:textId="77777777" w:rsidR="00F706B9" w:rsidRPr="00580953" w:rsidRDefault="00F706B9" w:rsidP="00F706B9">
      <w:pPr>
        <w:pStyle w:val="Heading5"/>
      </w:pPr>
      <w:r w:rsidRPr="00580953">
        <w:t>Frequency</w:t>
      </w:r>
      <w:bookmarkEnd w:id="4"/>
      <w:bookmarkEnd w:id="5"/>
      <w:bookmarkEnd w:id="6"/>
      <w:bookmarkEnd w:id="7"/>
      <w:bookmarkEnd w:id="8"/>
      <w:bookmarkEnd w:id="9"/>
    </w:p>
    <w:p w14:paraId="3E31C874" w14:textId="1C0DC0BC" w:rsidR="00F706B9" w:rsidRPr="00267E97" w:rsidRDefault="00F706B9" w:rsidP="00F706B9">
      <w:pPr>
        <w:pStyle w:val="BodyText"/>
        <w:rPr>
          <w:spacing w:val="-2"/>
        </w:rPr>
      </w:pPr>
      <w:r w:rsidRPr="00267E97">
        <w:rPr>
          <w:spacing w:val="-2"/>
        </w:rPr>
        <w:t>Continuous sound can be described by frequency (pitch) and amplitude (loudness). A low-frequency sound is perceived as low in pitch. Frequency is expressed in terms of cycles per second, or hertz (Hz) (e.g., a frequency of 250 cycles per second is referred to as 250 Hz). High frequencies are sometimes more conveniently expressed in kilohertz</w:t>
      </w:r>
      <w:r w:rsidR="00614EBB" w:rsidRPr="00267E97">
        <w:rPr>
          <w:spacing w:val="-2"/>
        </w:rPr>
        <w:t xml:space="preserve"> (kHz)</w:t>
      </w:r>
      <w:r w:rsidRPr="00267E97">
        <w:rPr>
          <w:spacing w:val="-2"/>
        </w:rPr>
        <w:t xml:space="preserve">, or thousands of hertz. The audible frequency range for humans is generally between 20 Hz and </w:t>
      </w:r>
      <w:r w:rsidR="00614EBB" w:rsidRPr="00267E97">
        <w:rPr>
          <w:spacing w:val="-2"/>
        </w:rPr>
        <w:t>20</w:t>
      </w:r>
      <w:r w:rsidR="002201EB" w:rsidRPr="00267E97">
        <w:rPr>
          <w:spacing w:val="-2"/>
        </w:rPr>
        <w:t xml:space="preserve"> </w:t>
      </w:r>
      <w:r w:rsidR="00614EBB" w:rsidRPr="00267E97">
        <w:rPr>
          <w:spacing w:val="-2"/>
        </w:rPr>
        <w:t>kHz (</w:t>
      </w:r>
      <w:r w:rsidRPr="00267E97">
        <w:rPr>
          <w:spacing w:val="-2"/>
        </w:rPr>
        <w:t>20,000 Hz</w:t>
      </w:r>
      <w:r w:rsidR="00614EBB" w:rsidRPr="00267E97">
        <w:rPr>
          <w:spacing w:val="-2"/>
        </w:rPr>
        <w:t>)</w:t>
      </w:r>
      <w:r w:rsidRPr="00267E97">
        <w:rPr>
          <w:spacing w:val="-2"/>
        </w:rPr>
        <w:t>.</w:t>
      </w:r>
    </w:p>
    <w:p w14:paraId="16E3CD34" w14:textId="77777777" w:rsidR="00F706B9" w:rsidRPr="00580953" w:rsidRDefault="00F706B9" w:rsidP="00F706B9">
      <w:pPr>
        <w:pStyle w:val="Heading5"/>
      </w:pPr>
      <w:r w:rsidRPr="00580953">
        <w:t>Sound Pressure Levels and Decibels</w:t>
      </w:r>
    </w:p>
    <w:p w14:paraId="3C440D2C" w14:textId="77777777" w:rsidR="00F706B9" w:rsidRPr="00AA1D58" w:rsidRDefault="00F706B9" w:rsidP="00F706B9">
      <w:pPr>
        <w:pStyle w:val="BodyText"/>
        <w:rPr>
          <w:spacing w:val="-1"/>
        </w:rPr>
      </w:pPr>
      <w:r w:rsidRPr="00AA1D58">
        <w:rPr>
          <w:spacing w:val="-1"/>
        </w:rPr>
        <w:t xml:space="preserve">The amplitude of pressure waves generated by a sound source determines the loudness of that source. Sound pressure amplitude is measured in micro-Pascals (mPa). One mPa is approximately one hundred billionth (0.00000000001) of normal atmospheric pressure. Sound pressure amplitudes for different kinds of noise environments can range from less than 100 to 100,000,000 mPa. Because of this large range of values, sound is rarely expressed in terms of mPa. Instead, a logarithmic scale is used to describe sound pressure level (SPL) in terms of decibels (dB). </w:t>
      </w:r>
    </w:p>
    <w:p w14:paraId="19BA1D30" w14:textId="77777777" w:rsidR="00F706B9" w:rsidRPr="00580953" w:rsidRDefault="00F706B9" w:rsidP="00F706B9">
      <w:pPr>
        <w:pStyle w:val="Heading5"/>
      </w:pPr>
      <w:bookmarkStart w:id="10" w:name="_Toc385417736"/>
      <w:bookmarkStart w:id="11" w:name="_Toc378540498"/>
      <w:bookmarkStart w:id="12" w:name="_Toc378540389"/>
      <w:bookmarkStart w:id="13" w:name="_Toc335142371"/>
      <w:bookmarkStart w:id="14" w:name="_Toc189558212"/>
      <w:bookmarkStart w:id="15" w:name="_Toc163368393"/>
      <w:r w:rsidRPr="00580953">
        <w:t>Addition of Decibels</w:t>
      </w:r>
      <w:bookmarkEnd w:id="10"/>
      <w:bookmarkEnd w:id="11"/>
      <w:bookmarkEnd w:id="12"/>
      <w:bookmarkEnd w:id="13"/>
      <w:bookmarkEnd w:id="14"/>
      <w:bookmarkEnd w:id="15"/>
    </w:p>
    <w:p w14:paraId="13FE89DD" w14:textId="77777777" w:rsidR="00F706B9" w:rsidRPr="00580953" w:rsidRDefault="00F706B9" w:rsidP="00F706B9">
      <w:pPr>
        <w:pStyle w:val="BodyText"/>
      </w:pPr>
      <w:r w:rsidRPr="00580953">
        <w:t>Because decibels are logarithmic units, SPL</w:t>
      </w:r>
      <w:r>
        <w:t>s</w:t>
      </w:r>
      <w:r w:rsidRPr="00580953">
        <w:t xml:space="preserve"> cannot be added or subtracted through ordinary arithmetic. Under the decibel scale, a doubling of sou</w:t>
      </w:r>
      <w:r>
        <w:t>nd energy corresponds to a 3-dB</w:t>
      </w:r>
      <w:r w:rsidRPr="00580953">
        <w:t xml:space="preserve"> increase. In other words, when two identical sources are each producing sound of the same loudness at the same time, the resulting sound level at</w:t>
      </w:r>
      <w:r>
        <w:t xml:space="preserve"> a given distance would be 3 dB</w:t>
      </w:r>
      <w:r w:rsidRPr="00580953">
        <w:t xml:space="preserve"> higher than if only one of the sound sources was producing sound under the same conditions. For example, if one </w:t>
      </w:r>
      <w:r>
        <w:t xml:space="preserve">idling truck generates </w:t>
      </w:r>
      <w:r w:rsidRPr="00580953">
        <w:t>an SPL o</w:t>
      </w:r>
      <w:r>
        <w:t>f 70 dB</w:t>
      </w:r>
      <w:r w:rsidRPr="00580953">
        <w:t xml:space="preserve">, two </w:t>
      </w:r>
      <w:r>
        <w:t xml:space="preserve">trucks idling </w:t>
      </w:r>
      <w:r w:rsidRPr="00580953">
        <w:t>simultan</w:t>
      </w:r>
      <w:r>
        <w:t>eously would not produce 140 dB</w:t>
      </w:r>
      <w:r w:rsidRPr="00580953">
        <w:t>; rather, they</w:t>
      </w:r>
      <w:r>
        <w:t xml:space="preserve"> would combine to produce 73 </w:t>
      </w:r>
      <w:proofErr w:type="spellStart"/>
      <w:r>
        <w:t>dB</w:t>
      </w:r>
      <w:r w:rsidRPr="00580953">
        <w:t>.</w:t>
      </w:r>
      <w:proofErr w:type="spellEnd"/>
      <w:r w:rsidRPr="00580953">
        <w:t xml:space="preserve"> Under the decibel scale, three sources of equal loudness toge</w:t>
      </w:r>
      <w:r>
        <w:t>ther produce a sound level approximately 5 dB</w:t>
      </w:r>
      <w:r w:rsidRPr="00580953">
        <w:t xml:space="preserve"> louder than one source.</w:t>
      </w:r>
      <w:r w:rsidRPr="006B6BBC">
        <w:rPr>
          <w:highlight w:val="cyan"/>
        </w:rPr>
        <w:t xml:space="preserve"> </w:t>
      </w:r>
    </w:p>
    <w:p w14:paraId="26FBAB71" w14:textId="77777777" w:rsidR="00F706B9" w:rsidRPr="00580953" w:rsidRDefault="00F706B9" w:rsidP="00F706B9">
      <w:pPr>
        <w:pStyle w:val="Heading5"/>
      </w:pPr>
      <w:bookmarkStart w:id="16" w:name="_Toc385417737"/>
      <w:bookmarkStart w:id="17" w:name="_Toc378540499"/>
      <w:bookmarkStart w:id="18" w:name="_Toc378540390"/>
      <w:bookmarkStart w:id="19" w:name="_Toc335142372"/>
      <w:bookmarkStart w:id="20" w:name="_Toc189558213"/>
      <w:bookmarkStart w:id="21" w:name="_Toc163368394"/>
      <w:r w:rsidRPr="00580953">
        <w:lastRenderedPageBreak/>
        <w:t>A-Weighted Decibels</w:t>
      </w:r>
      <w:bookmarkEnd w:id="16"/>
      <w:bookmarkEnd w:id="17"/>
      <w:bookmarkEnd w:id="18"/>
      <w:bookmarkEnd w:id="19"/>
      <w:bookmarkEnd w:id="20"/>
      <w:bookmarkEnd w:id="21"/>
    </w:p>
    <w:p w14:paraId="1FECE4D2" w14:textId="77777777" w:rsidR="00F706B9" w:rsidRPr="00AA1D58" w:rsidRDefault="00F706B9" w:rsidP="00F706B9">
      <w:pPr>
        <w:pStyle w:val="BodyText"/>
        <w:rPr>
          <w:spacing w:val="-4"/>
        </w:rPr>
      </w:pPr>
      <w:r w:rsidRPr="00AA1D58">
        <w:rPr>
          <w:spacing w:val="-4"/>
        </w:rPr>
        <w:t>The decibel scale alone does not adequately characterize how humans perceive noise. The dominant frequencies of a sound have a substantial effect on the human response to that sound. Although the intensity (energy per unit area) of the sound is a purely physical quantity, the loudness or human response is determined by the characteristics of the human ear.</w:t>
      </w:r>
    </w:p>
    <w:p w14:paraId="5E130CCD" w14:textId="7DB056BB" w:rsidR="00F706B9" w:rsidRPr="00580953" w:rsidRDefault="00F706B9" w:rsidP="00F706B9">
      <w:pPr>
        <w:pStyle w:val="BodyText"/>
      </w:pPr>
      <w:r w:rsidRPr="00580953">
        <w:t>Human hearing is limited in the range of audible frequencies as well as in the way it perceives the SPL in that range. In general, people are most sensitive to the frequency range of 1,000–8,000 Hz and perceive sounds within th</w:t>
      </w:r>
      <w:r>
        <w:t>is</w:t>
      </w:r>
      <w:r w:rsidRPr="00580953">
        <w:t xml:space="preserve"> range better than sounds of the same amplitude </w:t>
      </w:r>
      <w:r>
        <w:t xml:space="preserve">with </w:t>
      </w:r>
      <w:r w:rsidRPr="00580953">
        <w:t>frequencies</w:t>
      </w:r>
      <w:r>
        <w:t xml:space="preserve"> outside of this range</w:t>
      </w:r>
      <w:r w:rsidRPr="00580953">
        <w:t xml:space="preserve">. To approximate the response of the human ear, sound levels of individual frequency bands are weighted, depending on the human sensitivity to those frequencies. Then, an </w:t>
      </w:r>
      <w:r w:rsidR="00DF0AA2">
        <w:t>“</w:t>
      </w:r>
      <w:r w:rsidRPr="00580953">
        <w:t>A-weighted</w:t>
      </w:r>
      <w:r w:rsidR="00DF0AA2">
        <w:t>”</w:t>
      </w:r>
      <w:r w:rsidRPr="00580953">
        <w:t xml:space="preserve"> sound level (expressed in units of A-weighted decibels) can be computed based on this information. </w:t>
      </w:r>
    </w:p>
    <w:p w14:paraId="1BDEFD60" w14:textId="24BA0B84" w:rsidR="00F706B9" w:rsidRDefault="00F706B9" w:rsidP="0073681E">
      <w:pPr>
        <w:pStyle w:val="BodyText"/>
      </w:pPr>
      <w:r w:rsidRPr="00580953">
        <w:t>The A-weighting network approximates the frequency response of the average young ear when listening to most ordinary sounds. When people make judgments of the relative loudness or annoyance of a sound, their judgment correlates well with the A-scale sound levels of those sounds. Thus, noise levels are typically reported in terms of A</w:t>
      </w:r>
      <w:r w:rsidRPr="00580953">
        <w:noBreakHyphen/>
        <w:t xml:space="preserve">weighted decibels. All sound levels discussed in this section are </w:t>
      </w:r>
      <w:r>
        <w:t xml:space="preserve">expressed in </w:t>
      </w:r>
      <w:r w:rsidRPr="00580953">
        <w:t xml:space="preserve">A-weighted decibels. </w:t>
      </w:r>
      <w:r w:rsidRPr="00C66769">
        <w:t>Table 3.13-1</w:t>
      </w:r>
      <w:r>
        <w:t xml:space="preserve"> </w:t>
      </w:r>
      <w:r w:rsidRPr="00C66769">
        <w:t>describes typical A-weighted noise levels for various noise sources.</w:t>
      </w:r>
    </w:p>
    <w:p w14:paraId="10589EFF" w14:textId="21243E14" w:rsidR="0073681E" w:rsidRPr="0073681E" w:rsidRDefault="0073681E" w:rsidP="0073681E">
      <w:pPr>
        <w:pStyle w:val="TableHeader"/>
      </w:pPr>
      <w:bookmarkStart w:id="22" w:name="_Toc385417806"/>
      <w:bookmarkStart w:id="23" w:name="_Toc390242515"/>
      <w:bookmarkStart w:id="24" w:name="_Toc413140362"/>
      <w:bookmarkStart w:id="25" w:name="_Toc427919922"/>
      <w:bookmarkStart w:id="26" w:name="_Toc480184519"/>
      <w:bookmarkStart w:id="27" w:name="_Toc482884015"/>
      <w:bookmarkStart w:id="28" w:name="_Toc23837257"/>
      <w:r w:rsidRPr="00C66769">
        <w:t>Table 3.13-1</w:t>
      </w:r>
      <w:r w:rsidRPr="00C66769">
        <w:tab/>
      </w:r>
      <w:bookmarkStart w:id="29" w:name="_Hlk6250434"/>
      <w:r w:rsidRPr="00C66769">
        <w:t>Typical A-Weighted Noise Levels</w:t>
      </w:r>
      <w:bookmarkEnd w:id="22"/>
      <w:bookmarkEnd w:id="23"/>
      <w:bookmarkEnd w:id="24"/>
      <w:bookmarkEnd w:id="25"/>
      <w:bookmarkEnd w:id="26"/>
      <w:bookmarkEnd w:id="27"/>
      <w:bookmarkEnd w:id="29"/>
      <w:bookmarkEnd w:id="28"/>
    </w:p>
    <w:tbl>
      <w:tblPr>
        <w:tblW w:w="10080" w:type="dxa"/>
        <w:jc w:val="center"/>
        <w:tblBorders>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299"/>
        <w:gridCol w:w="1526"/>
        <w:gridCol w:w="4255"/>
      </w:tblGrid>
      <w:tr w:rsidR="00F706B9" w:rsidRPr="00580953" w14:paraId="39142D1B" w14:textId="77777777" w:rsidTr="008D391E">
        <w:trPr>
          <w:tblHeader/>
          <w:jc w:val="center"/>
        </w:trPr>
        <w:tc>
          <w:tcPr>
            <w:tcW w:w="429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915BEB" w14:textId="77777777" w:rsidR="00F706B9" w:rsidRPr="00580953" w:rsidRDefault="00F706B9" w:rsidP="008D391E">
            <w:pPr>
              <w:pStyle w:val="TableColumn"/>
            </w:pPr>
            <w:bookmarkStart w:id="30" w:name="_Toc385417738"/>
            <w:bookmarkStart w:id="31" w:name="_Toc378540500"/>
            <w:bookmarkStart w:id="32" w:name="_Toc378540391"/>
            <w:bookmarkStart w:id="33" w:name="_Toc335142373"/>
            <w:bookmarkStart w:id="34" w:name="_Toc189558214"/>
            <w:bookmarkStart w:id="35" w:name="_Toc163368395"/>
            <w:r w:rsidRPr="00580953">
              <w:t>Common Outdoor Activities</w:t>
            </w:r>
          </w:p>
        </w:t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0272E" w14:textId="77777777" w:rsidR="00F706B9" w:rsidRPr="00580953" w:rsidRDefault="00F706B9" w:rsidP="008D391E">
            <w:pPr>
              <w:pStyle w:val="TableColumn"/>
            </w:pPr>
            <w:r>
              <w:t>Noise Level (dB</w:t>
            </w:r>
            <w:r w:rsidRPr="00580953">
              <w:t>)</w:t>
            </w:r>
          </w:p>
        </w:tc>
        <w:tc>
          <w:tcPr>
            <w:tcW w:w="425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46BDD44" w14:textId="77777777" w:rsidR="00F706B9" w:rsidRPr="00580953" w:rsidRDefault="00F706B9" w:rsidP="008D391E">
            <w:pPr>
              <w:pStyle w:val="TableColumn"/>
            </w:pPr>
            <w:r w:rsidRPr="00580953">
              <w:t>Common Indoor Activities</w:t>
            </w:r>
          </w:p>
        </w:tc>
      </w:tr>
      <w:tr w:rsidR="00F706B9" w:rsidRPr="00580953" w14:paraId="5E19DBE2" w14:textId="77777777" w:rsidTr="008D391E">
        <w:trPr>
          <w:jc w:val="center"/>
        </w:trPr>
        <w:tc>
          <w:tcPr>
            <w:tcW w:w="4299" w:type="dxa"/>
            <w:tcBorders>
              <w:top w:val="single" w:sz="4" w:space="0" w:color="auto"/>
              <w:left w:val="nil"/>
              <w:bottom w:val="single" w:sz="4" w:space="0" w:color="auto"/>
              <w:right w:val="single" w:sz="4" w:space="0" w:color="auto"/>
            </w:tcBorders>
            <w:vAlign w:val="center"/>
          </w:tcPr>
          <w:p w14:paraId="56132F83" w14:textId="77777777" w:rsidR="00F706B9" w:rsidRPr="00580953" w:rsidRDefault="00F706B9" w:rsidP="008D391E">
            <w:pPr>
              <w:pStyle w:val="TableText"/>
            </w:pPr>
          </w:p>
        </w:tc>
        <w:tc>
          <w:tcPr>
            <w:tcW w:w="1526" w:type="dxa"/>
            <w:tcBorders>
              <w:top w:val="single" w:sz="4" w:space="0" w:color="auto"/>
              <w:left w:val="single" w:sz="4" w:space="0" w:color="auto"/>
              <w:bottom w:val="single" w:sz="4" w:space="0" w:color="auto"/>
              <w:right w:val="single" w:sz="4" w:space="0" w:color="auto"/>
            </w:tcBorders>
            <w:vAlign w:val="center"/>
            <w:hideMark/>
          </w:tcPr>
          <w:p w14:paraId="3912921A" w14:textId="77777777" w:rsidR="00F706B9" w:rsidRPr="00580953" w:rsidRDefault="00F706B9" w:rsidP="008D391E">
            <w:pPr>
              <w:pStyle w:val="TableText"/>
            </w:pPr>
            <w:r w:rsidRPr="00580953">
              <w:t>— 110 —</w:t>
            </w:r>
          </w:p>
        </w:tc>
        <w:tc>
          <w:tcPr>
            <w:tcW w:w="4255" w:type="dxa"/>
            <w:tcBorders>
              <w:top w:val="single" w:sz="4" w:space="0" w:color="auto"/>
              <w:left w:val="single" w:sz="4" w:space="0" w:color="auto"/>
              <w:bottom w:val="single" w:sz="4" w:space="0" w:color="auto"/>
              <w:right w:val="nil"/>
            </w:tcBorders>
            <w:vAlign w:val="center"/>
            <w:hideMark/>
          </w:tcPr>
          <w:p w14:paraId="187BBD4C" w14:textId="77777777" w:rsidR="00F706B9" w:rsidRPr="00580953" w:rsidRDefault="00F706B9" w:rsidP="008D391E">
            <w:pPr>
              <w:pStyle w:val="TableText"/>
            </w:pPr>
            <w:r w:rsidRPr="00580953">
              <w:t>Rock band</w:t>
            </w:r>
          </w:p>
        </w:tc>
      </w:tr>
      <w:tr w:rsidR="00F706B9" w:rsidRPr="00580953" w14:paraId="087B188F" w14:textId="77777777" w:rsidTr="008D391E">
        <w:trPr>
          <w:jc w:val="center"/>
        </w:trPr>
        <w:tc>
          <w:tcPr>
            <w:tcW w:w="4299" w:type="dxa"/>
            <w:tcBorders>
              <w:top w:val="single" w:sz="4" w:space="0" w:color="auto"/>
              <w:left w:val="nil"/>
              <w:bottom w:val="single" w:sz="4" w:space="0" w:color="auto"/>
              <w:right w:val="single" w:sz="4" w:space="0" w:color="auto"/>
            </w:tcBorders>
            <w:vAlign w:val="center"/>
          </w:tcPr>
          <w:p w14:paraId="21154DB0" w14:textId="77777777" w:rsidR="00F706B9" w:rsidRPr="00580953" w:rsidRDefault="00F706B9" w:rsidP="008D391E">
            <w:pPr>
              <w:pStyle w:val="TableText"/>
            </w:pPr>
            <w:r w:rsidRPr="00580953">
              <w:t>Jet fly-over at 1,000 feet</w:t>
            </w:r>
          </w:p>
        </w:tc>
        <w:tc>
          <w:tcPr>
            <w:tcW w:w="1526" w:type="dxa"/>
            <w:tcBorders>
              <w:top w:val="single" w:sz="4" w:space="0" w:color="auto"/>
              <w:left w:val="single" w:sz="4" w:space="0" w:color="auto"/>
              <w:bottom w:val="single" w:sz="4" w:space="0" w:color="auto"/>
              <w:right w:val="single" w:sz="4" w:space="0" w:color="auto"/>
            </w:tcBorders>
            <w:vAlign w:val="center"/>
            <w:hideMark/>
          </w:tcPr>
          <w:p w14:paraId="49521195" w14:textId="77777777" w:rsidR="00F706B9" w:rsidRPr="00580953" w:rsidRDefault="00F706B9" w:rsidP="008D391E">
            <w:pPr>
              <w:pStyle w:val="TableText"/>
            </w:pPr>
            <w:r w:rsidRPr="00580953">
              <w:t>— 100 —</w:t>
            </w:r>
          </w:p>
        </w:tc>
        <w:tc>
          <w:tcPr>
            <w:tcW w:w="4255" w:type="dxa"/>
            <w:tcBorders>
              <w:top w:val="single" w:sz="4" w:space="0" w:color="auto"/>
              <w:left w:val="single" w:sz="4" w:space="0" w:color="auto"/>
              <w:bottom w:val="single" w:sz="4" w:space="0" w:color="auto"/>
              <w:right w:val="nil"/>
            </w:tcBorders>
            <w:vAlign w:val="center"/>
          </w:tcPr>
          <w:p w14:paraId="6C796741" w14:textId="77777777" w:rsidR="00F706B9" w:rsidRPr="00580953" w:rsidRDefault="00F706B9" w:rsidP="008D391E">
            <w:pPr>
              <w:pStyle w:val="TableText"/>
            </w:pPr>
          </w:p>
        </w:tc>
      </w:tr>
      <w:tr w:rsidR="00F706B9" w:rsidRPr="00580953" w14:paraId="1D34897B" w14:textId="77777777" w:rsidTr="008D391E">
        <w:trPr>
          <w:jc w:val="center"/>
        </w:trPr>
        <w:tc>
          <w:tcPr>
            <w:tcW w:w="4299" w:type="dxa"/>
            <w:tcBorders>
              <w:top w:val="single" w:sz="4" w:space="0" w:color="auto"/>
              <w:left w:val="nil"/>
              <w:bottom w:val="single" w:sz="4" w:space="0" w:color="auto"/>
              <w:right w:val="single" w:sz="4" w:space="0" w:color="auto"/>
            </w:tcBorders>
            <w:vAlign w:val="center"/>
          </w:tcPr>
          <w:p w14:paraId="7569E7CF" w14:textId="77777777" w:rsidR="00F706B9" w:rsidRPr="00580953" w:rsidRDefault="00F706B9" w:rsidP="008D391E">
            <w:pPr>
              <w:pStyle w:val="TableText"/>
            </w:pPr>
            <w:r w:rsidRPr="00580953">
              <w:t>Gas lawn mower at 3 feet</w:t>
            </w:r>
          </w:p>
        </w:tc>
        <w:tc>
          <w:tcPr>
            <w:tcW w:w="1526" w:type="dxa"/>
            <w:tcBorders>
              <w:top w:val="single" w:sz="4" w:space="0" w:color="auto"/>
              <w:left w:val="single" w:sz="4" w:space="0" w:color="auto"/>
              <w:bottom w:val="single" w:sz="4" w:space="0" w:color="auto"/>
              <w:right w:val="single" w:sz="4" w:space="0" w:color="auto"/>
            </w:tcBorders>
            <w:vAlign w:val="center"/>
            <w:hideMark/>
          </w:tcPr>
          <w:p w14:paraId="7AEEE370" w14:textId="77777777" w:rsidR="00F706B9" w:rsidRPr="00580953" w:rsidRDefault="00F706B9" w:rsidP="008D391E">
            <w:pPr>
              <w:pStyle w:val="TableText"/>
            </w:pPr>
            <w:r w:rsidRPr="00580953">
              <w:t>— 90 —</w:t>
            </w:r>
          </w:p>
        </w:tc>
        <w:tc>
          <w:tcPr>
            <w:tcW w:w="4255" w:type="dxa"/>
            <w:tcBorders>
              <w:top w:val="single" w:sz="4" w:space="0" w:color="auto"/>
              <w:left w:val="single" w:sz="4" w:space="0" w:color="auto"/>
              <w:bottom w:val="single" w:sz="4" w:space="0" w:color="auto"/>
              <w:right w:val="nil"/>
            </w:tcBorders>
            <w:vAlign w:val="center"/>
          </w:tcPr>
          <w:p w14:paraId="3998279D" w14:textId="77777777" w:rsidR="00F706B9" w:rsidRPr="00580953" w:rsidRDefault="00F706B9" w:rsidP="008D391E">
            <w:pPr>
              <w:pStyle w:val="TableText"/>
            </w:pPr>
          </w:p>
        </w:tc>
      </w:tr>
      <w:tr w:rsidR="00F706B9" w:rsidRPr="00580953" w14:paraId="3466B4C5" w14:textId="77777777" w:rsidTr="008D391E">
        <w:trPr>
          <w:jc w:val="center"/>
        </w:trPr>
        <w:tc>
          <w:tcPr>
            <w:tcW w:w="4299" w:type="dxa"/>
            <w:tcBorders>
              <w:top w:val="single" w:sz="4" w:space="0" w:color="auto"/>
              <w:left w:val="nil"/>
              <w:bottom w:val="single" w:sz="4" w:space="0" w:color="auto"/>
              <w:right w:val="single" w:sz="4" w:space="0" w:color="auto"/>
            </w:tcBorders>
            <w:vAlign w:val="center"/>
            <w:hideMark/>
          </w:tcPr>
          <w:p w14:paraId="038AE630" w14:textId="77777777" w:rsidR="00F706B9" w:rsidRPr="00580953" w:rsidRDefault="00F706B9" w:rsidP="008D391E">
            <w:pPr>
              <w:pStyle w:val="TableText"/>
            </w:pPr>
            <w:r w:rsidRPr="00580953">
              <w:t>Diesel truck at 50 feet at 50 miles per hour</w:t>
            </w:r>
          </w:p>
        </w:tc>
        <w:tc>
          <w:tcPr>
            <w:tcW w:w="1526" w:type="dxa"/>
            <w:tcBorders>
              <w:top w:val="single" w:sz="4" w:space="0" w:color="auto"/>
              <w:left w:val="single" w:sz="4" w:space="0" w:color="auto"/>
              <w:bottom w:val="single" w:sz="4" w:space="0" w:color="auto"/>
              <w:right w:val="single" w:sz="4" w:space="0" w:color="auto"/>
            </w:tcBorders>
            <w:vAlign w:val="center"/>
          </w:tcPr>
          <w:p w14:paraId="02AD8340" w14:textId="77777777" w:rsidR="00F706B9" w:rsidRPr="00580953" w:rsidRDefault="00F706B9" w:rsidP="008D391E">
            <w:pPr>
              <w:pStyle w:val="TableText"/>
            </w:pPr>
            <w:r w:rsidRPr="00580953">
              <w:t>— 80 —</w:t>
            </w:r>
          </w:p>
        </w:tc>
        <w:tc>
          <w:tcPr>
            <w:tcW w:w="4255" w:type="dxa"/>
            <w:tcBorders>
              <w:top w:val="single" w:sz="4" w:space="0" w:color="auto"/>
              <w:left w:val="single" w:sz="4" w:space="0" w:color="auto"/>
              <w:bottom w:val="single" w:sz="4" w:space="0" w:color="auto"/>
              <w:right w:val="nil"/>
            </w:tcBorders>
            <w:vAlign w:val="center"/>
            <w:hideMark/>
          </w:tcPr>
          <w:p w14:paraId="5590F07C" w14:textId="77777777" w:rsidR="00F706B9" w:rsidRPr="00580953" w:rsidRDefault="00F706B9" w:rsidP="008D391E">
            <w:pPr>
              <w:pStyle w:val="TableText"/>
            </w:pPr>
            <w:r w:rsidRPr="00580953">
              <w:t>Food blender at 3 feet, Garbage disposal at 3 feet</w:t>
            </w:r>
          </w:p>
        </w:tc>
      </w:tr>
      <w:tr w:rsidR="00F706B9" w:rsidRPr="00580953" w14:paraId="4BE33105" w14:textId="77777777" w:rsidTr="008D391E">
        <w:trPr>
          <w:trHeight w:val="273"/>
          <w:jc w:val="center"/>
        </w:trPr>
        <w:tc>
          <w:tcPr>
            <w:tcW w:w="4299" w:type="dxa"/>
            <w:tcBorders>
              <w:top w:val="single" w:sz="4" w:space="0" w:color="auto"/>
              <w:left w:val="nil"/>
              <w:bottom w:val="single" w:sz="4" w:space="0" w:color="auto"/>
              <w:right w:val="single" w:sz="4" w:space="0" w:color="auto"/>
            </w:tcBorders>
            <w:vAlign w:val="center"/>
            <w:hideMark/>
          </w:tcPr>
          <w:p w14:paraId="6331AD60" w14:textId="77777777" w:rsidR="00F706B9" w:rsidRPr="00580953" w:rsidRDefault="00F706B9" w:rsidP="008D391E">
            <w:pPr>
              <w:pStyle w:val="TableText"/>
            </w:pPr>
            <w:r w:rsidRPr="00580953">
              <w:t>Noisy urban area, daytime, Gas lawn mower at 100 feet</w:t>
            </w:r>
          </w:p>
        </w:tc>
        <w:tc>
          <w:tcPr>
            <w:tcW w:w="1526" w:type="dxa"/>
            <w:tcBorders>
              <w:top w:val="single" w:sz="4" w:space="0" w:color="auto"/>
              <w:left w:val="single" w:sz="4" w:space="0" w:color="auto"/>
              <w:bottom w:val="single" w:sz="4" w:space="0" w:color="auto"/>
              <w:right w:val="single" w:sz="4" w:space="0" w:color="auto"/>
            </w:tcBorders>
            <w:vAlign w:val="center"/>
          </w:tcPr>
          <w:p w14:paraId="03D5247B" w14:textId="77777777" w:rsidR="00F706B9" w:rsidRPr="00580953" w:rsidRDefault="00F706B9" w:rsidP="008D391E">
            <w:pPr>
              <w:pStyle w:val="TableText"/>
            </w:pPr>
            <w:r w:rsidRPr="00580953">
              <w:t>— 70 —</w:t>
            </w:r>
          </w:p>
        </w:tc>
        <w:tc>
          <w:tcPr>
            <w:tcW w:w="4255" w:type="dxa"/>
            <w:tcBorders>
              <w:top w:val="single" w:sz="4" w:space="0" w:color="auto"/>
              <w:left w:val="single" w:sz="4" w:space="0" w:color="auto"/>
              <w:bottom w:val="single" w:sz="4" w:space="0" w:color="auto"/>
              <w:right w:val="nil"/>
            </w:tcBorders>
            <w:vAlign w:val="center"/>
          </w:tcPr>
          <w:p w14:paraId="22E525AD" w14:textId="77777777" w:rsidR="00F706B9" w:rsidRPr="00580953" w:rsidRDefault="00F706B9" w:rsidP="008D391E">
            <w:pPr>
              <w:pStyle w:val="TableText"/>
            </w:pPr>
            <w:r w:rsidRPr="00580953">
              <w:t>Vacuum cleaner at 10 feet, Normal speech at 3 feet</w:t>
            </w:r>
          </w:p>
        </w:tc>
      </w:tr>
      <w:tr w:rsidR="00F706B9" w:rsidRPr="00580953" w14:paraId="0051B58D" w14:textId="77777777" w:rsidTr="008D391E">
        <w:trPr>
          <w:jc w:val="center"/>
        </w:trPr>
        <w:tc>
          <w:tcPr>
            <w:tcW w:w="4299" w:type="dxa"/>
            <w:tcBorders>
              <w:top w:val="single" w:sz="4" w:space="0" w:color="auto"/>
              <w:left w:val="nil"/>
              <w:bottom w:val="single" w:sz="4" w:space="0" w:color="auto"/>
              <w:right w:val="single" w:sz="4" w:space="0" w:color="auto"/>
            </w:tcBorders>
            <w:vAlign w:val="center"/>
            <w:hideMark/>
          </w:tcPr>
          <w:p w14:paraId="65DC581E" w14:textId="77777777" w:rsidR="00F706B9" w:rsidRPr="00580953" w:rsidRDefault="00F706B9" w:rsidP="008D391E">
            <w:pPr>
              <w:pStyle w:val="TableText"/>
            </w:pPr>
            <w:r w:rsidRPr="00580953">
              <w:t>Commercial area, Heavy traffic at 300 feet</w:t>
            </w:r>
          </w:p>
        </w:tc>
        <w:tc>
          <w:tcPr>
            <w:tcW w:w="1526" w:type="dxa"/>
            <w:tcBorders>
              <w:top w:val="single" w:sz="4" w:space="0" w:color="auto"/>
              <w:left w:val="single" w:sz="4" w:space="0" w:color="auto"/>
              <w:bottom w:val="single" w:sz="4" w:space="0" w:color="auto"/>
              <w:right w:val="single" w:sz="4" w:space="0" w:color="auto"/>
            </w:tcBorders>
            <w:vAlign w:val="center"/>
          </w:tcPr>
          <w:p w14:paraId="512D65CB" w14:textId="77777777" w:rsidR="00F706B9" w:rsidRPr="00580953" w:rsidRDefault="00F706B9" w:rsidP="008D391E">
            <w:pPr>
              <w:pStyle w:val="TableText"/>
            </w:pPr>
            <w:r w:rsidRPr="00580953">
              <w:t>— 60 —</w:t>
            </w:r>
          </w:p>
        </w:tc>
        <w:tc>
          <w:tcPr>
            <w:tcW w:w="4255" w:type="dxa"/>
            <w:tcBorders>
              <w:top w:val="single" w:sz="4" w:space="0" w:color="auto"/>
              <w:left w:val="single" w:sz="4" w:space="0" w:color="auto"/>
              <w:bottom w:val="single" w:sz="4" w:space="0" w:color="auto"/>
              <w:right w:val="nil"/>
            </w:tcBorders>
            <w:vAlign w:val="center"/>
            <w:hideMark/>
          </w:tcPr>
          <w:p w14:paraId="55A6EFFE" w14:textId="77777777" w:rsidR="00F706B9" w:rsidRPr="00580953" w:rsidRDefault="00F706B9" w:rsidP="008D391E">
            <w:pPr>
              <w:pStyle w:val="TableText"/>
            </w:pPr>
          </w:p>
        </w:tc>
      </w:tr>
      <w:tr w:rsidR="00F706B9" w:rsidRPr="00580953" w14:paraId="14F94D47" w14:textId="77777777" w:rsidTr="008D391E">
        <w:trPr>
          <w:jc w:val="center"/>
        </w:trPr>
        <w:tc>
          <w:tcPr>
            <w:tcW w:w="4299" w:type="dxa"/>
            <w:tcBorders>
              <w:top w:val="single" w:sz="4" w:space="0" w:color="auto"/>
              <w:left w:val="nil"/>
              <w:bottom w:val="single" w:sz="4" w:space="0" w:color="auto"/>
              <w:right w:val="single" w:sz="4" w:space="0" w:color="auto"/>
            </w:tcBorders>
            <w:vAlign w:val="center"/>
            <w:hideMark/>
          </w:tcPr>
          <w:p w14:paraId="59AE8045" w14:textId="77777777" w:rsidR="00F706B9" w:rsidRPr="00580953" w:rsidRDefault="00F706B9" w:rsidP="008D391E">
            <w:pPr>
              <w:pStyle w:val="TableText"/>
            </w:pPr>
            <w:r w:rsidRPr="00580953">
              <w:t>Quiet urban daytime</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67BAAB1" w14:textId="77777777" w:rsidR="00F706B9" w:rsidRPr="00580953" w:rsidRDefault="00F706B9" w:rsidP="008D391E">
            <w:pPr>
              <w:pStyle w:val="TableText"/>
            </w:pPr>
            <w:r w:rsidRPr="00580953">
              <w:t>— 50 —</w:t>
            </w:r>
          </w:p>
        </w:tc>
        <w:tc>
          <w:tcPr>
            <w:tcW w:w="4255" w:type="dxa"/>
            <w:tcBorders>
              <w:top w:val="single" w:sz="4" w:space="0" w:color="auto"/>
              <w:left w:val="single" w:sz="4" w:space="0" w:color="auto"/>
              <w:bottom w:val="single" w:sz="4" w:space="0" w:color="auto"/>
              <w:right w:val="nil"/>
            </w:tcBorders>
            <w:vAlign w:val="center"/>
            <w:hideMark/>
          </w:tcPr>
          <w:p w14:paraId="214FFF13" w14:textId="77777777" w:rsidR="00F706B9" w:rsidRPr="00580953" w:rsidRDefault="00F706B9" w:rsidP="008D391E">
            <w:pPr>
              <w:pStyle w:val="TableText"/>
            </w:pPr>
            <w:r w:rsidRPr="00580953">
              <w:t>Large business office, Dishwasher next room</w:t>
            </w:r>
          </w:p>
        </w:tc>
      </w:tr>
      <w:tr w:rsidR="00F706B9" w:rsidRPr="00580953" w14:paraId="0B23B01F" w14:textId="77777777" w:rsidTr="008D391E">
        <w:trPr>
          <w:jc w:val="center"/>
        </w:trPr>
        <w:tc>
          <w:tcPr>
            <w:tcW w:w="4299" w:type="dxa"/>
            <w:tcBorders>
              <w:top w:val="single" w:sz="4" w:space="0" w:color="auto"/>
              <w:left w:val="nil"/>
              <w:bottom w:val="single" w:sz="4" w:space="0" w:color="auto"/>
              <w:right w:val="single" w:sz="4" w:space="0" w:color="auto"/>
            </w:tcBorders>
            <w:vAlign w:val="center"/>
            <w:hideMark/>
          </w:tcPr>
          <w:p w14:paraId="3B165A4F" w14:textId="77777777" w:rsidR="00F706B9" w:rsidRPr="00580953" w:rsidRDefault="00F706B9" w:rsidP="008D391E">
            <w:pPr>
              <w:pStyle w:val="TableText"/>
            </w:pPr>
            <w:r w:rsidRPr="00580953">
              <w:t>Quiet urban nighttime</w:t>
            </w:r>
          </w:p>
        </w:tc>
        <w:tc>
          <w:tcPr>
            <w:tcW w:w="1526" w:type="dxa"/>
            <w:tcBorders>
              <w:top w:val="single" w:sz="4" w:space="0" w:color="auto"/>
              <w:left w:val="single" w:sz="4" w:space="0" w:color="auto"/>
              <w:bottom w:val="single" w:sz="4" w:space="0" w:color="auto"/>
              <w:right w:val="single" w:sz="4" w:space="0" w:color="auto"/>
            </w:tcBorders>
            <w:vAlign w:val="center"/>
            <w:hideMark/>
          </w:tcPr>
          <w:p w14:paraId="63936768" w14:textId="77777777" w:rsidR="00F706B9" w:rsidRPr="00580953" w:rsidRDefault="00F706B9" w:rsidP="008D391E">
            <w:pPr>
              <w:pStyle w:val="TableText"/>
            </w:pPr>
            <w:r w:rsidRPr="00580953">
              <w:t>— 40 —</w:t>
            </w:r>
          </w:p>
        </w:tc>
        <w:tc>
          <w:tcPr>
            <w:tcW w:w="4255" w:type="dxa"/>
            <w:tcBorders>
              <w:top w:val="single" w:sz="4" w:space="0" w:color="auto"/>
              <w:left w:val="single" w:sz="4" w:space="0" w:color="auto"/>
              <w:bottom w:val="single" w:sz="4" w:space="0" w:color="auto"/>
              <w:right w:val="nil"/>
            </w:tcBorders>
            <w:vAlign w:val="center"/>
            <w:hideMark/>
          </w:tcPr>
          <w:p w14:paraId="28F2F166" w14:textId="77777777" w:rsidR="00F706B9" w:rsidRPr="00580953" w:rsidRDefault="00F706B9" w:rsidP="008D391E">
            <w:pPr>
              <w:pStyle w:val="TableText"/>
            </w:pPr>
            <w:r w:rsidRPr="00580953">
              <w:t>Theater, large conference room (background)</w:t>
            </w:r>
          </w:p>
        </w:tc>
      </w:tr>
      <w:tr w:rsidR="00F706B9" w:rsidRPr="00580953" w14:paraId="0F3E91D7" w14:textId="77777777" w:rsidTr="008D391E">
        <w:trPr>
          <w:jc w:val="center"/>
        </w:trPr>
        <w:tc>
          <w:tcPr>
            <w:tcW w:w="4299" w:type="dxa"/>
            <w:tcBorders>
              <w:top w:val="single" w:sz="4" w:space="0" w:color="auto"/>
              <w:left w:val="nil"/>
              <w:bottom w:val="single" w:sz="4" w:space="0" w:color="auto"/>
              <w:right w:val="single" w:sz="4" w:space="0" w:color="auto"/>
            </w:tcBorders>
            <w:vAlign w:val="center"/>
            <w:hideMark/>
          </w:tcPr>
          <w:p w14:paraId="73285579" w14:textId="77777777" w:rsidR="00F706B9" w:rsidRPr="00580953" w:rsidRDefault="00F706B9" w:rsidP="008D391E">
            <w:pPr>
              <w:pStyle w:val="TableText"/>
            </w:pPr>
            <w:r w:rsidRPr="00580953">
              <w:t>Quiet suburban nighttime</w:t>
            </w:r>
          </w:p>
        </w:tc>
        <w:tc>
          <w:tcPr>
            <w:tcW w:w="1526" w:type="dxa"/>
            <w:tcBorders>
              <w:top w:val="single" w:sz="4" w:space="0" w:color="auto"/>
              <w:left w:val="single" w:sz="4" w:space="0" w:color="auto"/>
              <w:bottom w:val="single" w:sz="4" w:space="0" w:color="auto"/>
              <w:right w:val="single" w:sz="4" w:space="0" w:color="auto"/>
            </w:tcBorders>
            <w:vAlign w:val="center"/>
          </w:tcPr>
          <w:p w14:paraId="6D63F658" w14:textId="77777777" w:rsidR="00F706B9" w:rsidRPr="00580953" w:rsidRDefault="00F706B9" w:rsidP="008D391E">
            <w:pPr>
              <w:pStyle w:val="TableText"/>
            </w:pPr>
            <w:r w:rsidRPr="00580953">
              <w:t>— 30 —</w:t>
            </w:r>
          </w:p>
        </w:tc>
        <w:tc>
          <w:tcPr>
            <w:tcW w:w="4255" w:type="dxa"/>
            <w:tcBorders>
              <w:top w:val="single" w:sz="4" w:space="0" w:color="auto"/>
              <w:left w:val="single" w:sz="4" w:space="0" w:color="auto"/>
              <w:bottom w:val="single" w:sz="4" w:space="0" w:color="auto"/>
              <w:right w:val="nil"/>
            </w:tcBorders>
            <w:vAlign w:val="center"/>
          </w:tcPr>
          <w:p w14:paraId="2EEE83AF" w14:textId="77777777" w:rsidR="00F706B9" w:rsidRPr="00580953" w:rsidRDefault="00F706B9" w:rsidP="008D391E">
            <w:pPr>
              <w:pStyle w:val="TableText"/>
            </w:pPr>
            <w:r w:rsidRPr="00580953">
              <w:t>Library, Bedroom at night</w:t>
            </w:r>
          </w:p>
        </w:tc>
      </w:tr>
      <w:tr w:rsidR="00F706B9" w:rsidRPr="00580953" w14:paraId="3D3D0427" w14:textId="77777777" w:rsidTr="008D391E">
        <w:trPr>
          <w:jc w:val="center"/>
        </w:trPr>
        <w:tc>
          <w:tcPr>
            <w:tcW w:w="4299" w:type="dxa"/>
            <w:tcBorders>
              <w:top w:val="single" w:sz="4" w:space="0" w:color="auto"/>
              <w:left w:val="nil"/>
              <w:bottom w:val="single" w:sz="4" w:space="0" w:color="auto"/>
              <w:right w:val="single" w:sz="4" w:space="0" w:color="auto"/>
            </w:tcBorders>
            <w:vAlign w:val="center"/>
            <w:hideMark/>
          </w:tcPr>
          <w:p w14:paraId="6E6DA099" w14:textId="77777777" w:rsidR="00F706B9" w:rsidRPr="00580953" w:rsidRDefault="00F706B9" w:rsidP="008D391E">
            <w:pPr>
              <w:pStyle w:val="TableText"/>
            </w:pPr>
            <w:r w:rsidRPr="00580953">
              <w:t>Quiet rural nighttime</w:t>
            </w:r>
          </w:p>
        </w:tc>
        <w:tc>
          <w:tcPr>
            <w:tcW w:w="1526" w:type="dxa"/>
            <w:tcBorders>
              <w:top w:val="single" w:sz="4" w:space="0" w:color="auto"/>
              <w:left w:val="single" w:sz="4" w:space="0" w:color="auto"/>
              <w:bottom w:val="single" w:sz="4" w:space="0" w:color="auto"/>
              <w:right w:val="single" w:sz="4" w:space="0" w:color="auto"/>
            </w:tcBorders>
            <w:vAlign w:val="center"/>
          </w:tcPr>
          <w:p w14:paraId="7EB6EFF6" w14:textId="77777777" w:rsidR="00F706B9" w:rsidRPr="00580953" w:rsidRDefault="00F706B9" w:rsidP="008D391E">
            <w:pPr>
              <w:pStyle w:val="TableText"/>
            </w:pPr>
            <w:r w:rsidRPr="00580953">
              <w:t>— 20 —</w:t>
            </w:r>
          </w:p>
        </w:tc>
        <w:tc>
          <w:tcPr>
            <w:tcW w:w="4255" w:type="dxa"/>
            <w:tcBorders>
              <w:top w:val="single" w:sz="4" w:space="0" w:color="auto"/>
              <w:left w:val="single" w:sz="4" w:space="0" w:color="auto"/>
              <w:bottom w:val="single" w:sz="4" w:space="0" w:color="auto"/>
              <w:right w:val="nil"/>
            </w:tcBorders>
            <w:vAlign w:val="center"/>
          </w:tcPr>
          <w:p w14:paraId="4B209D3D" w14:textId="77777777" w:rsidR="00F706B9" w:rsidRPr="00580953" w:rsidRDefault="00F706B9" w:rsidP="008D391E">
            <w:pPr>
              <w:pStyle w:val="TableText"/>
            </w:pPr>
          </w:p>
        </w:tc>
      </w:tr>
      <w:tr w:rsidR="00F706B9" w:rsidRPr="00580953" w14:paraId="11180DAE" w14:textId="77777777" w:rsidTr="008D391E">
        <w:trPr>
          <w:jc w:val="center"/>
        </w:trPr>
        <w:tc>
          <w:tcPr>
            <w:tcW w:w="4299" w:type="dxa"/>
            <w:tcBorders>
              <w:top w:val="single" w:sz="4" w:space="0" w:color="auto"/>
              <w:left w:val="nil"/>
              <w:bottom w:val="single" w:sz="4" w:space="0" w:color="auto"/>
              <w:right w:val="single" w:sz="4" w:space="0" w:color="auto"/>
            </w:tcBorders>
            <w:vAlign w:val="center"/>
          </w:tcPr>
          <w:p w14:paraId="68D52196" w14:textId="77777777" w:rsidR="00F706B9" w:rsidRPr="00580953" w:rsidRDefault="00F706B9" w:rsidP="008D391E">
            <w:pPr>
              <w:pStyle w:val="TableText"/>
            </w:pPr>
          </w:p>
        </w:tc>
        <w:tc>
          <w:tcPr>
            <w:tcW w:w="1526" w:type="dxa"/>
            <w:tcBorders>
              <w:top w:val="single" w:sz="4" w:space="0" w:color="auto"/>
              <w:left w:val="single" w:sz="4" w:space="0" w:color="auto"/>
              <w:bottom w:val="single" w:sz="4" w:space="0" w:color="auto"/>
              <w:right w:val="single" w:sz="4" w:space="0" w:color="auto"/>
            </w:tcBorders>
            <w:vAlign w:val="center"/>
            <w:hideMark/>
          </w:tcPr>
          <w:p w14:paraId="53765407" w14:textId="77777777" w:rsidR="00F706B9" w:rsidRPr="00580953" w:rsidRDefault="00F706B9" w:rsidP="008D391E">
            <w:pPr>
              <w:pStyle w:val="TableText"/>
            </w:pPr>
            <w:r w:rsidRPr="00580953">
              <w:t>— 10 —</w:t>
            </w:r>
          </w:p>
        </w:tc>
        <w:tc>
          <w:tcPr>
            <w:tcW w:w="4255" w:type="dxa"/>
            <w:tcBorders>
              <w:top w:val="single" w:sz="4" w:space="0" w:color="auto"/>
              <w:left w:val="single" w:sz="4" w:space="0" w:color="auto"/>
              <w:bottom w:val="single" w:sz="4" w:space="0" w:color="auto"/>
              <w:right w:val="nil"/>
            </w:tcBorders>
            <w:vAlign w:val="center"/>
          </w:tcPr>
          <w:p w14:paraId="7D8276E4" w14:textId="77777777" w:rsidR="00F706B9" w:rsidRPr="00580953" w:rsidRDefault="00F706B9" w:rsidP="008D391E">
            <w:pPr>
              <w:pStyle w:val="TableText"/>
            </w:pPr>
            <w:r w:rsidRPr="00580953">
              <w:t>Broadcast/recording studio</w:t>
            </w:r>
          </w:p>
        </w:tc>
      </w:tr>
      <w:tr w:rsidR="00F706B9" w:rsidRPr="00580953" w14:paraId="43D65F4F" w14:textId="77777777" w:rsidTr="008D391E">
        <w:trPr>
          <w:jc w:val="center"/>
        </w:trPr>
        <w:tc>
          <w:tcPr>
            <w:tcW w:w="4299" w:type="dxa"/>
            <w:tcBorders>
              <w:top w:val="single" w:sz="4" w:space="0" w:color="auto"/>
              <w:left w:val="nil"/>
              <w:bottom w:val="single" w:sz="4" w:space="0" w:color="auto"/>
              <w:right w:val="single" w:sz="4" w:space="0" w:color="auto"/>
            </w:tcBorders>
            <w:vAlign w:val="center"/>
            <w:hideMark/>
          </w:tcPr>
          <w:p w14:paraId="62D181A2" w14:textId="77777777" w:rsidR="00F706B9" w:rsidRPr="00580953" w:rsidRDefault="00F706B9" w:rsidP="008D391E">
            <w:pPr>
              <w:pStyle w:val="TableText"/>
            </w:pPr>
            <w:r w:rsidRPr="00580953">
              <w:t>Lowest threshold of human hearing</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A671140" w14:textId="77777777" w:rsidR="00F706B9" w:rsidRPr="00580953" w:rsidRDefault="00F706B9" w:rsidP="008D391E">
            <w:pPr>
              <w:pStyle w:val="TableText"/>
            </w:pPr>
            <w:r w:rsidRPr="00580953">
              <w:t>— 0 —</w:t>
            </w:r>
          </w:p>
        </w:tc>
        <w:tc>
          <w:tcPr>
            <w:tcW w:w="4255" w:type="dxa"/>
            <w:tcBorders>
              <w:top w:val="single" w:sz="4" w:space="0" w:color="auto"/>
              <w:left w:val="single" w:sz="4" w:space="0" w:color="auto"/>
              <w:bottom w:val="single" w:sz="4" w:space="0" w:color="auto"/>
              <w:right w:val="nil"/>
            </w:tcBorders>
            <w:vAlign w:val="center"/>
            <w:hideMark/>
          </w:tcPr>
          <w:p w14:paraId="7F0D7F37" w14:textId="77777777" w:rsidR="00F706B9" w:rsidRPr="00580953" w:rsidRDefault="00F706B9" w:rsidP="008D391E">
            <w:pPr>
              <w:pStyle w:val="TableText"/>
            </w:pPr>
            <w:r w:rsidRPr="00580953">
              <w:t>Lowest threshold of human hearing</w:t>
            </w:r>
          </w:p>
        </w:tc>
      </w:tr>
    </w:tbl>
    <w:p w14:paraId="1138C939" w14:textId="77777777" w:rsidR="0073681E" w:rsidRPr="00580953" w:rsidRDefault="0073681E" w:rsidP="008D391E">
      <w:pPr>
        <w:pStyle w:val="TableSource"/>
      </w:pPr>
      <w:r w:rsidRPr="00580953">
        <w:t xml:space="preserve">Source: </w:t>
      </w:r>
      <w:bookmarkStart w:id="36" w:name="_Hlk6250444"/>
      <w:r w:rsidRPr="00580953">
        <w:t xml:space="preserve">Caltrans 2013: </w:t>
      </w:r>
      <w:bookmarkEnd w:id="36"/>
      <w:r w:rsidRPr="00580953">
        <w:t>Table 2-5</w:t>
      </w:r>
      <w:r>
        <w:t>.</w:t>
      </w:r>
    </w:p>
    <w:p w14:paraId="1B773FCB" w14:textId="6A1637DB" w:rsidR="00B41C3A" w:rsidRDefault="00B41C3A" w:rsidP="00843196">
      <w:pPr>
        <w:pStyle w:val="BodyText12ptbefore"/>
      </w:pPr>
      <w:r>
        <w:t>All s</w:t>
      </w:r>
      <w:r w:rsidRPr="005E3A7C">
        <w:t xml:space="preserve">ound levels </w:t>
      </w:r>
      <w:r>
        <w:t xml:space="preserve">are </w:t>
      </w:r>
      <w:r w:rsidRPr="005E3A7C">
        <w:t xml:space="preserve">expressed </w:t>
      </w:r>
      <w:r>
        <w:t>in</w:t>
      </w:r>
      <w:r w:rsidRPr="005E3A7C">
        <w:t xml:space="preserve"> dB in this </w:t>
      </w:r>
      <w:r>
        <w:t xml:space="preserve">Program EIR </w:t>
      </w:r>
      <w:r w:rsidRPr="005E3A7C">
        <w:t>are A-weighted sound levels, unless noted otherwise.</w:t>
      </w:r>
    </w:p>
    <w:p w14:paraId="7D1FD83A" w14:textId="03B50775" w:rsidR="00F706B9" w:rsidRPr="00580953" w:rsidRDefault="00F706B9" w:rsidP="00F706B9">
      <w:pPr>
        <w:pStyle w:val="Heading5"/>
      </w:pPr>
      <w:r w:rsidRPr="00580953">
        <w:t>Human Response to Changes in Noise Levels</w:t>
      </w:r>
      <w:bookmarkEnd w:id="30"/>
      <w:bookmarkEnd w:id="31"/>
      <w:bookmarkEnd w:id="32"/>
      <w:bookmarkEnd w:id="33"/>
      <w:bookmarkEnd w:id="34"/>
      <w:bookmarkEnd w:id="35"/>
    </w:p>
    <w:p w14:paraId="49B72740" w14:textId="77777777" w:rsidR="00F706B9" w:rsidRPr="00580953" w:rsidRDefault="00F706B9" w:rsidP="00F706B9">
      <w:pPr>
        <w:pStyle w:val="BodyText"/>
      </w:pPr>
      <w:r>
        <w:t>The</w:t>
      </w:r>
      <w:r w:rsidRPr="00580953">
        <w:t xml:space="preserve"> doubling of</w:t>
      </w:r>
      <w:r>
        <w:t xml:space="preserve"> sound energy results in a 3-dB</w:t>
      </w:r>
      <w:r w:rsidRPr="00580953">
        <w:t xml:space="preserve"> increase in the sound level. However, given a sound level change measured with precise instrumentation, the subjective human perception of a doubling of loudness will usually be different from what is measured.</w:t>
      </w:r>
    </w:p>
    <w:p w14:paraId="12699799" w14:textId="60D062A2" w:rsidR="00F706B9" w:rsidRPr="00F706B9" w:rsidRDefault="00F706B9" w:rsidP="00F706B9">
      <w:pPr>
        <w:pStyle w:val="BodyText"/>
      </w:pPr>
      <w:r w:rsidRPr="00F706B9">
        <w:t>Under controlled conditions in an acoustical laboratory, the trained, healthy human ear can discern 1-dB changes in sound levels when exposed to steady, single-frequency (</w:t>
      </w:r>
      <w:r w:rsidR="00DF0AA2">
        <w:t>“</w:t>
      </w:r>
      <w:r w:rsidRPr="00F706B9">
        <w:t>pure-tone</w:t>
      </w:r>
      <w:r w:rsidR="00DF0AA2">
        <w:t>”</w:t>
      </w:r>
      <w:r w:rsidRPr="00F706B9">
        <w:t>) signals in the mid-frequency (1,000–8,000 Hz) range. In general, the healthy human ear is most sensitive to sounds between 1,000 and 5,000 Hz and perceives both higher and lower frequency sounds of the same magnitude with less intensity (Caltrans 2013:2-18). In typical noisy environments, changes in noise of 1–2 dB are generally not perceptible. However, it is widely accepted that people can begin to detect sound level increases of 3 dB in typical noisy environments. Further, a 5</w:t>
      </w:r>
      <w:r w:rsidRPr="00F706B9">
        <w:noBreakHyphen/>
        <w:t>dB increase is generally perceived as a distinctly noticeable increase, and a 10-dB increase is generally perceived as a doubling of loudness (Caltrans 2013:2-10). Therefore, a doubling of sound energy (e.g., doubling the volume of traffic on a highway) that would result in a 3-dB increase in sound would generally be perceived as barely detectable.</w:t>
      </w:r>
      <w:bookmarkStart w:id="37" w:name="_Toc385417739"/>
      <w:bookmarkStart w:id="38" w:name="_Toc378540501"/>
      <w:bookmarkStart w:id="39" w:name="_Toc378540392"/>
      <w:bookmarkStart w:id="40" w:name="_Toc335142374"/>
      <w:bookmarkStart w:id="41" w:name="_Toc189558215"/>
      <w:bookmarkStart w:id="42" w:name="_Toc163368396"/>
    </w:p>
    <w:p w14:paraId="77E977C9" w14:textId="77777777" w:rsidR="00F706B9" w:rsidRPr="00580953" w:rsidRDefault="00F706B9" w:rsidP="00F706B9">
      <w:pPr>
        <w:pStyle w:val="Heading5"/>
      </w:pPr>
      <w:bookmarkStart w:id="43" w:name="_Toc413140348"/>
      <w:r w:rsidRPr="00580953">
        <w:lastRenderedPageBreak/>
        <w:t>Vibration</w:t>
      </w:r>
      <w:bookmarkEnd w:id="43"/>
    </w:p>
    <w:p w14:paraId="52A5447E" w14:textId="4F324B49" w:rsidR="00F706B9" w:rsidRPr="00580953" w:rsidRDefault="00F706B9" w:rsidP="00843196">
      <w:pPr>
        <w:pStyle w:val="BodyText"/>
      </w:pPr>
      <w:r w:rsidRPr="00580953">
        <w:t>Vibration is the periodic oscillation of a medium or object with respect to a given reference point. Sources of vibration include natural phenomena (e.g., earthquakes, volcanic eruptions, sea waves, landslides) and those introduced by human activity (e.g., explosions, machinery, traffic, trains, construction equipment). Vibration sources may be continuous (e.g., operating factory machinery)</w:t>
      </w:r>
      <w:r w:rsidR="004469D3">
        <w:t>, random,</w:t>
      </w:r>
      <w:r w:rsidRPr="00580953">
        <w:t xml:space="preserve"> or transient in nature (e.g., explosions). Vibration levels can be depicted in terms of amplitude and frequency, relative to displacement, velocity, or acceleration.</w:t>
      </w:r>
    </w:p>
    <w:p w14:paraId="1D396447" w14:textId="442F54C2" w:rsidR="00F706B9" w:rsidRPr="00C66769" w:rsidRDefault="00F706B9" w:rsidP="00843196">
      <w:pPr>
        <w:pStyle w:val="BodyText"/>
      </w:pPr>
      <w:r w:rsidRPr="00580953">
        <w:t>Typical outdoor sources of perceptible ground vibration are construction equipment, steel-wheeled trains, and traffic on rough roads</w:t>
      </w:r>
      <w:r w:rsidR="004469D3">
        <w:t xml:space="preserve"> (assuming a receptor is near enough to the road to feel the vibration)</w:t>
      </w:r>
      <w:r w:rsidRPr="00580953">
        <w:t xml:space="preserve">. If a roadway is smooth, the ground vibration is rarely perceptible. Vibrations generated by construction activity can be transient, random, or continuous. Transient construction vibrations are </w:t>
      </w:r>
      <w:r w:rsidR="003E0A62">
        <w:t xml:space="preserve">typically </w:t>
      </w:r>
      <w:r w:rsidRPr="00580953">
        <w:t>generated by</w:t>
      </w:r>
      <w:r w:rsidR="003E0A62">
        <w:t xml:space="preserve"> more vibration-intensive construction activities and equipment such as</w:t>
      </w:r>
      <w:r w:rsidRPr="00580953">
        <w:t xml:space="preserve"> blasting, impact pile driving, and wrecking balls. Continuous </w:t>
      </w:r>
      <w:r w:rsidR="003E0A62" w:rsidRPr="00580953">
        <w:t xml:space="preserve">vibrations are </w:t>
      </w:r>
      <w:r w:rsidR="003E0A62">
        <w:t xml:space="preserve">typically </w:t>
      </w:r>
      <w:r w:rsidR="003E0A62" w:rsidRPr="00580953">
        <w:t>generated by</w:t>
      </w:r>
      <w:r w:rsidR="003E0A62">
        <w:t xml:space="preserve"> more vibration-intensive construction activities and equipment</w:t>
      </w:r>
      <w:r w:rsidR="003E0A62" w:rsidRPr="00580953" w:rsidDel="003E0A62">
        <w:t xml:space="preserve"> </w:t>
      </w:r>
      <w:r w:rsidR="003E0A62">
        <w:t>such as</w:t>
      </w:r>
      <w:r>
        <w:t xml:space="preserve"> </w:t>
      </w:r>
      <w:r w:rsidRPr="00580953">
        <w:t xml:space="preserve">vibratory pile drivers, large pumps, and compressors. Random vibration can result from jackhammers, pavement breakers, and heavy </w:t>
      </w:r>
      <w:r w:rsidRPr="00C66769">
        <w:t xml:space="preserve">construction equipment. </w:t>
      </w:r>
    </w:p>
    <w:p w14:paraId="3DC8BDED" w14:textId="783ED007" w:rsidR="00F706B9" w:rsidRPr="00C66769" w:rsidRDefault="00F706B9" w:rsidP="00843196">
      <w:pPr>
        <w:pStyle w:val="BodyText"/>
      </w:pPr>
      <w:r w:rsidRPr="00C66769">
        <w:t>Table 3.13-2 summarizes the general human response to different ground vibration-velocity levels.</w:t>
      </w:r>
    </w:p>
    <w:p w14:paraId="17197962" w14:textId="77777777" w:rsidR="0073681E" w:rsidRPr="00BF18E0" w:rsidRDefault="0073681E" w:rsidP="008D391E">
      <w:pPr>
        <w:pStyle w:val="TableHeader"/>
      </w:pPr>
      <w:bookmarkStart w:id="44" w:name="_Toc329771525"/>
      <w:bookmarkStart w:id="45" w:name="_Toc355004635"/>
      <w:bookmarkStart w:id="46" w:name="_Toc368904393"/>
      <w:bookmarkStart w:id="47" w:name="_Toc427919923"/>
      <w:bookmarkStart w:id="48" w:name="_Toc480184520"/>
      <w:bookmarkStart w:id="49" w:name="_Toc482884016"/>
      <w:bookmarkStart w:id="50" w:name="_Toc23837258"/>
      <w:bookmarkStart w:id="51" w:name="_Hlk479510832"/>
      <w:bookmarkStart w:id="52" w:name="_Toc413140349"/>
      <w:r w:rsidRPr="00C66769">
        <w:t>Table 3.13-2</w:t>
      </w:r>
      <w:r w:rsidRPr="00C66769">
        <w:tab/>
        <w:t>Human Response to Different Levels of Ground Noise and Vibration</w:t>
      </w:r>
      <w:bookmarkEnd w:id="44"/>
      <w:bookmarkEnd w:id="45"/>
      <w:bookmarkEnd w:id="46"/>
      <w:bookmarkEnd w:id="47"/>
      <w:bookmarkEnd w:id="48"/>
      <w:bookmarkEnd w:id="49"/>
      <w:bookmarkEnd w:id="50"/>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2527"/>
        <w:gridCol w:w="7553"/>
      </w:tblGrid>
      <w:tr w:rsidR="00F706B9" w:rsidRPr="00580953" w14:paraId="47464396" w14:textId="77777777" w:rsidTr="00843196">
        <w:trPr>
          <w:tblHeader/>
          <w:jc w:val="center"/>
        </w:trPr>
        <w:tc>
          <w:tcPr>
            <w:tcW w:w="25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FF7E6F" w14:textId="77777777" w:rsidR="00F706B9" w:rsidRPr="00580953" w:rsidRDefault="00F706B9" w:rsidP="008D391E">
            <w:pPr>
              <w:pStyle w:val="TableColumn"/>
            </w:pPr>
            <w:r w:rsidRPr="00580953">
              <w:t>Vibration-Velocity Level</w:t>
            </w:r>
          </w:p>
        </w:tc>
        <w:tc>
          <w:tcPr>
            <w:tcW w:w="75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3A25FE9" w14:textId="77777777" w:rsidR="00F706B9" w:rsidRPr="00580953" w:rsidRDefault="00F706B9" w:rsidP="008D391E">
            <w:pPr>
              <w:pStyle w:val="TableColumn"/>
            </w:pPr>
            <w:r w:rsidRPr="00580953">
              <w:t>Human Reaction</w:t>
            </w:r>
          </w:p>
        </w:tc>
      </w:tr>
      <w:tr w:rsidR="00F706B9" w:rsidRPr="00580953" w14:paraId="3219368E" w14:textId="77777777" w:rsidTr="00843196">
        <w:trPr>
          <w:jc w:val="center"/>
        </w:trPr>
        <w:tc>
          <w:tcPr>
            <w:tcW w:w="2527" w:type="dxa"/>
            <w:tcBorders>
              <w:top w:val="single" w:sz="4" w:space="0" w:color="auto"/>
              <w:left w:val="nil"/>
              <w:bottom w:val="single" w:sz="4" w:space="0" w:color="auto"/>
              <w:right w:val="single" w:sz="4" w:space="0" w:color="auto"/>
            </w:tcBorders>
            <w:vAlign w:val="center"/>
          </w:tcPr>
          <w:p w14:paraId="6D9BB871" w14:textId="77777777" w:rsidR="00F706B9" w:rsidRPr="00580953" w:rsidRDefault="00F706B9" w:rsidP="008D391E">
            <w:pPr>
              <w:pStyle w:val="TableText"/>
            </w:pPr>
            <w:r w:rsidRPr="00580953">
              <w:t xml:space="preserve">65 </w:t>
            </w:r>
            <w:proofErr w:type="spellStart"/>
            <w:r w:rsidRPr="00580953">
              <w:t>VdB</w:t>
            </w:r>
            <w:proofErr w:type="spellEnd"/>
          </w:p>
        </w:tc>
        <w:tc>
          <w:tcPr>
            <w:tcW w:w="7553" w:type="dxa"/>
            <w:tcBorders>
              <w:top w:val="single" w:sz="4" w:space="0" w:color="auto"/>
              <w:left w:val="single" w:sz="4" w:space="0" w:color="auto"/>
              <w:bottom w:val="single" w:sz="4" w:space="0" w:color="auto"/>
              <w:right w:val="nil"/>
            </w:tcBorders>
          </w:tcPr>
          <w:p w14:paraId="09FFB6EC" w14:textId="77777777" w:rsidR="00F706B9" w:rsidRPr="00580953" w:rsidRDefault="00F706B9" w:rsidP="008D391E">
            <w:pPr>
              <w:pStyle w:val="TableTextL"/>
            </w:pPr>
            <w:r w:rsidRPr="00580953">
              <w:t>Approximate threshold of perception.</w:t>
            </w:r>
          </w:p>
        </w:tc>
      </w:tr>
      <w:tr w:rsidR="00F706B9" w:rsidRPr="00580953" w14:paraId="32460B87" w14:textId="77777777" w:rsidTr="00843196">
        <w:trPr>
          <w:jc w:val="center"/>
        </w:trPr>
        <w:tc>
          <w:tcPr>
            <w:tcW w:w="2527" w:type="dxa"/>
            <w:tcBorders>
              <w:top w:val="single" w:sz="4" w:space="0" w:color="auto"/>
              <w:left w:val="nil"/>
              <w:bottom w:val="single" w:sz="4" w:space="0" w:color="auto"/>
              <w:right w:val="single" w:sz="4" w:space="0" w:color="auto"/>
            </w:tcBorders>
            <w:vAlign w:val="center"/>
          </w:tcPr>
          <w:p w14:paraId="0C4EAF9E" w14:textId="77777777" w:rsidR="00F706B9" w:rsidRPr="00580953" w:rsidRDefault="00F706B9" w:rsidP="008D391E">
            <w:pPr>
              <w:pStyle w:val="TableText"/>
            </w:pPr>
            <w:r w:rsidRPr="00580953">
              <w:t xml:space="preserve">75 </w:t>
            </w:r>
            <w:proofErr w:type="spellStart"/>
            <w:r w:rsidRPr="00580953">
              <w:t>VdB</w:t>
            </w:r>
            <w:proofErr w:type="spellEnd"/>
          </w:p>
        </w:tc>
        <w:tc>
          <w:tcPr>
            <w:tcW w:w="7553" w:type="dxa"/>
            <w:tcBorders>
              <w:top w:val="single" w:sz="4" w:space="0" w:color="auto"/>
              <w:left w:val="single" w:sz="4" w:space="0" w:color="auto"/>
              <w:bottom w:val="single" w:sz="4" w:space="0" w:color="auto"/>
              <w:right w:val="nil"/>
            </w:tcBorders>
          </w:tcPr>
          <w:p w14:paraId="41B4058F" w14:textId="77777777" w:rsidR="00F706B9" w:rsidRPr="00580953" w:rsidRDefault="00F706B9" w:rsidP="008D391E">
            <w:pPr>
              <w:pStyle w:val="TableTextL"/>
            </w:pPr>
            <w:r w:rsidRPr="00580953">
              <w:t>Approximate dividing line between barely perceptible and distinctly perceptible. Many people find that transportation-related vibration at this level is unacceptable.</w:t>
            </w:r>
          </w:p>
        </w:tc>
      </w:tr>
      <w:tr w:rsidR="00F706B9" w:rsidRPr="00580953" w14:paraId="33A413A8" w14:textId="77777777" w:rsidTr="00843196">
        <w:trPr>
          <w:jc w:val="center"/>
        </w:trPr>
        <w:tc>
          <w:tcPr>
            <w:tcW w:w="2527" w:type="dxa"/>
            <w:tcBorders>
              <w:top w:val="single" w:sz="4" w:space="0" w:color="auto"/>
              <w:left w:val="nil"/>
              <w:bottom w:val="single" w:sz="4" w:space="0" w:color="auto"/>
              <w:right w:val="single" w:sz="4" w:space="0" w:color="auto"/>
            </w:tcBorders>
            <w:vAlign w:val="center"/>
          </w:tcPr>
          <w:p w14:paraId="443505F2" w14:textId="77777777" w:rsidR="00F706B9" w:rsidRPr="00580953" w:rsidRDefault="00F706B9" w:rsidP="008D391E">
            <w:pPr>
              <w:pStyle w:val="TableText"/>
            </w:pPr>
            <w:r w:rsidRPr="00580953">
              <w:t xml:space="preserve">85 </w:t>
            </w:r>
            <w:proofErr w:type="spellStart"/>
            <w:r w:rsidRPr="00580953">
              <w:t>VdB</w:t>
            </w:r>
            <w:proofErr w:type="spellEnd"/>
          </w:p>
        </w:tc>
        <w:tc>
          <w:tcPr>
            <w:tcW w:w="7553" w:type="dxa"/>
            <w:tcBorders>
              <w:top w:val="single" w:sz="4" w:space="0" w:color="auto"/>
              <w:left w:val="single" w:sz="4" w:space="0" w:color="auto"/>
              <w:bottom w:val="single" w:sz="4" w:space="0" w:color="auto"/>
              <w:right w:val="nil"/>
            </w:tcBorders>
          </w:tcPr>
          <w:p w14:paraId="4131EED4" w14:textId="77777777" w:rsidR="00F706B9" w:rsidRPr="00580953" w:rsidRDefault="00F706B9" w:rsidP="008D391E">
            <w:pPr>
              <w:pStyle w:val="TableTextL"/>
            </w:pPr>
            <w:r w:rsidRPr="00580953">
              <w:t>Vibration acceptable only if there are an infrequent number of events per day.</w:t>
            </w:r>
          </w:p>
        </w:tc>
      </w:tr>
    </w:tbl>
    <w:p w14:paraId="33F615A5" w14:textId="77777777" w:rsidR="0073681E" w:rsidRPr="00580953" w:rsidRDefault="0073681E" w:rsidP="008D391E">
      <w:pPr>
        <w:pStyle w:val="TableSource"/>
      </w:pPr>
      <w:r w:rsidRPr="00580953">
        <w:t xml:space="preserve">Notes: </w:t>
      </w:r>
      <w:proofErr w:type="spellStart"/>
      <w:r w:rsidRPr="00580953">
        <w:t>VdB</w:t>
      </w:r>
      <w:proofErr w:type="spellEnd"/>
      <w:r w:rsidRPr="00580953">
        <w:t xml:space="preserve"> = vibration decibels referenced to 1 μ inch/second and based on the root mean square (RMS) velocity amplitude.</w:t>
      </w:r>
    </w:p>
    <w:p w14:paraId="02A9389B" w14:textId="77777777" w:rsidR="0073681E" w:rsidRPr="00580953" w:rsidRDefault="0073681E" w:rsidP="008D391E">
      <w:pPr>
        <w:pStyle w:val="TableSource"/>
      </w:pPr>
      <w:r w:rsidRPr="00580953">
        <w:t xml:space="preserve">Source: </w:t>
      </w:r>
      <w:bookmarkStart w:id="53" w:name="_Hlk6250474"/>
      <w:r w:rsidRPr="00580953">
        <w:t>FTA 2006</w:t>
      </w:r>
      <w:bookmarkEnd w:id="53"/>
      <w:r w:rsidRPr="00580953">
        <w:t>:7-8</w:t>
      </w:r>
      <w:r>
        <w:t>.</w:t>
      </w:r>
    </w:p>
    <w:bookmarkEnd w:id="51"/>
    <w:p w14:paraId="747FFC95" w14:textId="1CEB3C2F" w:rsidR="00F706B9" w:rsidRPr="00580953" w:rsidRDefault="00F706B9" w:rsidP="00F706B9">
      <w:pPr>
        <w:pStyle w:val="Heading5"/>
      </w:pPr>
      <w:r w:rsidRPr="00580953">
        <w:t>Common Noise Descriptors</w:t>
      </w:r>
      <w:bookmarkEnd w:id="37"/>
      <w:bookmarkEnd w:id="38"/>
      <w:bookmarkEnd w:id="39"/>
      <w:bookmarkEnd w:id="40"/>
      <w:bookmarkEnd w:id="41"/>
      <w:bookmarkEnd w:id="42"/>
      <w:bookmarkEnd w:id="52"/>
    </w:p>
    <w:p w14:paraId="6D09E93F" w14:textId="3B18D514" w:rsidR="00F706B9" w:rsidRPr="00580953" w:rsidRDefault="00F706B9" w:rsidP="00843196">
      <w:pPr>
        <w:pStyle w:val="BodyText"/>
      </w:pPr>
      <w:r w:rsidRPr="00580953">
        <w:t xml:space="preserve">Noise in our daily environment fluctuates over time. </w:t>
      </w:r>
      <w:r w:rsidR="004469D3" w:rsidRPr="00580953">
        <w:t xml:space="preserve">The following noise descriptors </w:t>
      </w:r>
      <w:r w:rsidR="002B3C94">
        <w:t xml:space="preserve">are </w:t>
      </w:r>
      <w:r w:rsidR="004469D3" w:rsidRPr="00580953">
        <w:t xml:space="preserve">used throughout this section </w:t>
      </w:r>
      <w:r w:rsidRPr="00580953">
        <w:t>to describe time-varying noise levels.</w:t>
      </w:r>
    </w:p>
    <w:p w14:paraId="3045FF50" w14:textId="2AB14DA4" w:rsidR="00F706B9" w:rsidRPr="00580953" w:rsidRDefault="00F706B9" w:rsidP="00843196">
      <w:pPr>
        <w:pStyle w:val="BodyText"/>
      </w:pPr>
      <w:r w:rsidRPr="00580953">
        <w:rPr>
          <w:b/>
          <w:bCs/>
        </w:rPr>
        <w:t>Equivalent Continuous Sound Level (</w:t>
      </w:r>
      <w:proofErr w:type="spellStart"/>
      <w:r w:rsidRPr="00580953">
        <w:rPr>
          <w:b/>
        </w:rPr>
        <w:t>L</w:t>
      </w:r>
      <w:r w:rsidRPr="00580953">
        <w:rPr>
          <w:b/>
          <w:vertAlign w:val="subscript"/>
        </w:rPr>
        <w:t>eq</w:t>
      </w:r>
      <w:proofErr w:type="spellEnd"/>
      <w:r w:rsidRPr="00580953">
        <w:rPr>
          <w:b/>
          <w:bCs/>
        </w:rPr>
        <w:t xml:space="preserve">): </w:t>
      </w:r>
      <w:proofErr w:type="spellStart"/>
      <w:r w:rsidRPr="00580953">
        <w:t>L</w:t>
      </w:r>
      <w:r w:rsidRPr="00580953">
        <w:rPr>
          <w:vertAlign w:val="subscript"/>
        </w:rPr>
        <w:t>eq</w:t>
      </w:r>
      <w:proofErr w:type="spellEnd"/>
      <w:r w:rsidRPr="00580953">
        <w:t xml:space="preserve"> represents an average of the sound energy occurring over a specified period. In effect, </w:t>
      </w:r>
      <w:proofErr w:type="spellStart"/>
      <w:r w:rsidRPr="00580953">
        <w:t>L</w:t>
      </w:r>
      <w:r w:rsidRPr="00580953">
        <w:rPr>
          <w:vertAlign w:val="subscript"/>
        </w:rPr>
        <w:t>eq</w:t>
      </w:r>
      <w:proofErr w:type="spellEnd"/>
      <w:r w:rsidRPr="00580953">
        <w:t xml:space="preserve"> is the steady-state sound level containing the same acoustical energy as the time-varying sound </w:t>
      </w:r>
      <w:r>
        <w:t xml:space="preserve">level </w:t>
      </w:r>
      <w:r w:rsidRPr="00580953">
        <w:t>that occurs during the same period</w:t>
      </w:r>
      <w:r>
        <w:t xml:space="preserve"> (Caltrans 2013:2-48)</w:t>
      </w:r>
      <w:r w:rsidRPr="00580953">
        <w:t xml:space="preserve">. </w:t>
      </w:r>
      <w:r>
        <w:t>For instance, t</w:t>
      </w:r>
      <w:r w:rsidRPr="00580953">
        <w:t>he 1-hour equivalent sound level</w:t>
      </w:r>
      <w:r>
        <w:t xml:space="preserve">, also referred to as the hourly </w:t>
      </w:r>
      <w:proofErr w:type="spellStart"/>
      <w:r w:rsidRPr="00580953">
        <w:t>L</w:t>
      </w:r>
      <w:r w:rsidRPr="00580953">
        <w:rPr>
          <w:vertAlign w:val="subscript"/>
        </w:rPr>
        <w:t>eq</w:t>
      </w:r>
      <w:proofErr w:type="spellEnd"/>
      <w:r>
        <w:t>,</w:t>
      </w:r>
      <w:r w:rsidRPr="00580953">
        <w:t xml:space="preserve"> is the energy average of sound levels occurring during a 1-hour period and is the basis for noise abatement criteria used by California Department of Transportation </w:t>
      </w:r>
      <w:r>
        <w:t>(</w:t>
      </w:r>
      <w:r w:rsidRPr="00580953">
        <w:t>Caltrans</w:t>
      </w:r>
      <w:r>
        <w:t>)</w:t>
      </w:r>
      <w:r w:rsidRPr="00580953">
        <w:t xml:space="preserve"> and Federal </w:t>
      </w:r>
      <w:r>
        <w:t xml:space="preserve">Transit Administration </w:t>
      </w:r>
      <w:r w:rsidRPr="00580953">
        <w:t>(F</w:t>
      </w:r>
      <w:r>
        <w:t>T</w:t>
      </w:r>
      <w:r w:rsidRPr="00580953">
        <w:t>A)</w:t>
      </w:r>
      <w:r>
        <w:t xml:space="preserve"> (Caltrans 2013:2-47</w:t>
      </w:r>
      <w:r w:rsidR="008D7E41">
        <w:t>,</w:t>
      </w:r>
      <w:r>
        <w:t xml:space="preserve"> FTA 2006:2-19)</w:t>
      </w:r>
      <w:r w:rsidRPr="00580953">
        <w:t>.</w:t>
      </w:r>
    </w:p>
    <w:p w14:paraId="0860696C" w14:textId="2A84A28A" w:rsidR="00F706B9" w:rsidRPr="00580953" w:rsidRDefault="00F706B9" w:rsidP="00843196">
      <w:pPr>
        <w:pStyle w:val="BodyText"/>
      </w:pPr>
      <w:r w:rsidRPr="00580953">
        <w:rPr>
          <w:b/>
          <w:bCs/>
        </w:rPr>
        <w:t>Percentile-Exceeded Sound Level (</w:t>
      </w:r>
      <w:r w:rsidRPr="00580953">
        <w:rPr>
          <w:b/>
        </w:rPr>
        <w:t>L</w:t>
      </w:r>
      <w:r>
        <w:rPr>
          <w:b/>
          <w:vertAlign w:val="subscript"/>
        </w:rPr>
        <w:t>X</w:t>
      </w:r>
      <w:r w:rsidRPr="00580953">
        <w:rPr>
          <w:b/>
          <w:bCs/>
        </w:rPr>
        <w:t xml:space="preserve">): </w:t>
      </w:r>
      <w:r w:rsidRPr="00580953">
        <w:t>L</w:t>
      </w:r>
      <w:r>
        <w:rPr>
          <w:vertAlign w:val="subscript"/>
        </w:rPr>
        <w:t>X</w:t>
      </w:r>
      <w:r w:rsidRPr="00580953">
        <w:t xml:space="preserve"> represents the sound level exceeded for a given percentage of a specified period (e.g., L</w:t>
      </w:r>
      <w:r w:rsidRPr="00580953">
        <w:rPr>
          <w:vertAlign w:val="subscript"/>
        </w:rPr>
        <w:t>10</w:t>
      </w:r>
      <w:r w:rsidRPr="00580953">
        <w:t xml:space="preserve"> is the sound level exceeded 10 percent of the time, and L</w:t>
      </w:r>
      <w:r w:rsidRPr="00580953">
        <w:rPr>
          <w:vertAlign w:val="subscript"/>
        </w:rPr>
        <w:t>90</w:t>
      </w:r>
      <w:r w:rsidRPr="00580953">
        <w:t xml:space="preserve"> is the sound level exceeded 90 percent of the time)</w:t>
      </w:r>
      <w:r>
        <w:t xml:space="preserve"> (Caltrans 2013:2-16)</w:t>
      </w:r>
      <w:r w:rsidRPr="00580953">
        <w:t>.</w:t>
      </w:r>
    </w:p>
    <w:p w14:paraId="75B9010A" w14:textId="3D5C5D7A" w:rsidR="00F706B9" w:rsidRPr="00580953" w:rsidRDefault="00F706B9" w:rsidP="00843196">
      <w:pPr>
        <w:pStyle w:val="BodyText"/>
      </w:pPr>
      <w:r w:rsidRPr="00580953">
        <w:rPr>
          <w:b/>
          <w:bCs/>
        </w:rPr>
        <w:t>Maximum Sound Level (</w:t>
      </w:r>
      <w:proofErr w:type="spellStart"/>
      <w:r w:rsidRPr="00580953">
        <w:rPr>
          <w:b/>
        </w:rPr>
        <w:t>L</w:t>
      </w:r>
      <w:r w:rsidRPr="00580953">
        <w:rPr>
          <w:b/>
          <w:vertAlign w:val="subscript"/>
        </w:rPr>
        <w:t>max</w:t>
      </w:r>
      <w:proofErr w:type="spellEnd"/>
      <w:r w:rsidRPr="00580953">
        <w:rPr>
          <w:b/>
          <w:bCs/>
        </w:rPr>
        <w:t xml:space="preserve">): </w:t>
      </w:r>
      <w:proofErr w:type="spellStart"/>
      <w:r w:rsidRPr="00580953">
        <w:t>L</w:t>
      </w:r>
      <w:r w:rsidRPr="00580953">
        <w:rPr>
          <w:vertAlign w:val="subscript"/>
        </w:rPr>
        <w:t>max</w:t>
      </w:r>
      <w:proofErr w:type="spellEnd"/>
      <w:r w:rsidRPr="00580953">
        <w:t xml:space="preserve"> is the highest instantaneous sound level measured during a specified period</w:t>
      </w:r>
      <w:r>
        <w:t xml:space="preserve"> (Caltrans 2013:2-48; FTA 2006:2-16)</w:t>
      </w:r>
      <w:r w:rsidRPr="00580953">
        <w:t>.</w:t>
      </w:r>
    </w:p>
    <w:p w14:paraId="571C2894" w14:textId="1B7AE6E4" w:rsidR="00F706B9" w:rsidRPr="00E128B8" w:rsidRDefault="00F706B9" w:rsidP="00631812">
      <w:pPr>
        <w:pStyle w:val="BodyText"/>
      </w:pPr>
      <w:r w:rsidRPr="00580953">
        <w:rPr>
          <w:b/>
          <w:bCs/>
        </w:rPr>
        <w:t>Community Noise Equivalent Level (</w:t>
      </w:r>
      <w:r w:rsidRPr="00580953">
        <w:rPr>
          <w:b/>
        </w:rPr>
        <w:t>CNEL</w:t>
      </w:r>
      <w:r w:rsidRPr="00580953">
        <w:rPr>
          <w:b/>
          <w:bCs/>
        </w:rPr>
        <w:t xml:space="preserve">): </w:t>
      </w:r>
      <w:r w:rsidRPr="00580953">
        <w:t>CNEL is the energy average of the A-weighted sound levels occurring over a 24-hour period, with a 10-</w:t>
      </w:r>
      <w:r>
        <w:t>dB</w:t>
      </w:r>
      <w:r w:rsidRPr="00580953">
        <w:t xml:space="preserve"> penalty </w:t>
      </w:r>
      <w:r w:rsidRPr="00631812">
        <w:t>applied</w:t>
      </w:r>
      <w:r w:rsidRPr="00580953">
        <w:t xml:space="preserve"> to sound levels occurring during the nighttime hours between 10 p.m. and 7 a.m. and a 5-</w:t>
      </w:r>
      <w:r>
        <w:t>dB</w:t>
      </w:r>
      <w:r w:rsidRPr="00580953">
        <w:t xml:space="preserve"> penalty applied to the sound levels occurring during evening hours between 7 p.m. and 10 p.m.</w:t>
      </w:r>
      <w:r>
        <w:t xml:space="preserve"> (Caltrans </w:t>
      </w:r>
      <w:r w:rsidRPr="00E128B8">
        <w:t xml:space="preserve">2013:2-48). </w:t>
      </w:r>
    </w:p>
    <w:p w14:paraId="44AD8FDF" w14:textId="149258B4" w:rsidR="00F3736A" w:rsidRPr="008A71AA" w:rsidRDefault="00B71E28" w:rsidP="00456323">
      <w:pPr>
        <w:pStyle w:val="BodyText"/>
        <w:keepLines/>
      </w:pPr>
      <w:r w:rsidRPr="008A71AA">
        <w:rPr>
          <w:b/>
          <w:bCs/>
        </w:rPr>
        <w:t xml:space="preserve">Single Event [Impulsive] Noise Level </w:t>
      </w:r>
      <w:r w:rsidR="00F3736A" w:rsidRPr="008A71AA">
        <w:rPr>
          <w:b/>
          <w:bCs/>
        </w:rPr>
        <w:t>(</w:t>
      </w:r>
      <w:r w:rsidRPr="008A71AA">
        <w:rPr>
          <w:b/>
          <w:bCs/>
        </w:rPr>
        <w:t>SENL</w:t>
      </w:r>
      <w:r w:rsidR="00F3736A" w:rsidRPr="008A71AA">
        <w:rPr>
          <w:b/>
          <w:bCs/>
        </w:rPr>
        <w:t xml:space="preserve">): </w:t>
      </w:r>
      <w:r w:rsidR="00F3736A" w:rsidRPr="008A71AA">
        <w:t>The SENL describes a receiver</w:t>
      </w:r>
      <w:r w:rsidR="00DF0AA2" w:rsidRPr="008A71AA">
        <w:t>’</w:t>
      </w:r>
      <w:r w:rsidR="00F3736A" w:rsidRPr="008A71AA">
        <w:t xml:space="preserve">s cumulative noise exposure from a single impulsive noise event (e.g., an automobile passing by or an aircraft flying overhead), which is defined as an acoustical event of short duration and involves a change in sound pressure above some reference value. SENLs typically represent the noise events used to calculate the </w:t>
      </w:r>
      <w:proofErr w:type="spellStart"/>
      <w:r w:rsidR="00F3736A" w:rsidRPr="008A71AA">
        <w:t>L</w:t>
      </w:r>
      <w:r w:rsidR="00F3736A" w:rsidRPr="00631812">
        <w:rPr>
          <w:vertAlign w:val="subscript"/>
        </w:rPr>
        <w:t>eq</w:t>
      </w:r>
      <w:proofErr w:type="spellEnd"/>
      <w:r w:rsidR="00F3736A" w:rsidRPr="008A71AA">
        <w:t xml:space="preserve">, </w:t>
      </w:r>
      <w:proofErr w:type="spellStart"/>
      <w:r w:rsidR="00F3736A" w:rsidRPr="008A71AA">
        <w:t>L</w:t>
      </w:r>
      <w:r w:rsidR="00F3736A" w:rsidRPr="00631812">
        <w:rPr>
          <w:vertAlign w:val="subscript"/>
        </w:rPr>
        <w:t>dn</w:t>
      </w:r>
      <w:proofErr w:type="spellEnd"/>
      <w:r w:rsidR="00F3736A" w:rsidRPr="008A71AA">
        <w:t>, and CNEL.</w:t>
      </w:r>
    </w:p>
    <w:p w14:paraId="6E4D8FFA" w14:textId="67F3A404" w:rsidR="00F706B9" w:rsidRPr="00580953" w:rsidRDefault="00F706B9" w:rsidP="00F706B9">
      <w:pPr>
        <w:pStyle w:val="Heading5"/>
      </w:pPr>
      <w:bookmarkStart w:id="54" w:name="_Toc385417740"/>
      <w:bookmarkStart w:id="55" w:name="_Toc378540502"/>
      <w:bookmarkStart w:id="56" w:name="_Toc378540393"/>
      <w:bookmarkStart w:id="57" w:name="_Toc335142375"/>
      <w:bookmarkStart w:id="58" w:name="_Toc189558216"/>
      <w:bookmarkStart w:id="59" w:name="_Toc163368397"/>
      <w:bookmarkStart w:id="60" w:name="_Toc413140350"/>
      <w:r w:rsidRPr="00580953">
        <w:lastRenderedPageBreak/>
        <w:t>Sound Propagation</w:t>
      </w:r>
      <w:bookmarkEnd w:id="54"/>
      <w:bookmarkEnd w:id="55"/>
      <w:bookmarkEnd w:id="56"/>
      <w:bookmarkEnd w:id="57"/>
      <w:bookmarkEnd w:id="58"/>
      <w:bookmarkEnd w:id="59"/>
      <w:bookmarkEnd w:id="60"/>
    </w:p>
    <w:p w14:paraId="30995E56" w14:textId="66721AE2" w:rsidR="00F706B9" w:rsidRPr="006C7D62" w:rsidRDefault="00F706B9" w:rsidP="00843196">
      <w:pPr>
        <w:pStyle w:val="BodyText"/>
      </w:pPr>
      <w:r w:rsidRPr="006C7D62">
        <w:t xml:space="preserve">When sound propagates over a distance, it changes in level and frequency content. The manner in which </w:t>
      </w:r>
      <w:r>
        <w:t xml:space="preserve">a </w:t>
      </w:r>
      <w:r w:rsidRPr="006C7D62">
        <w:t xml:space="preserve">noise </w:t>
      </w:r>
      <w:r>
        <w:t xml:space="preserve">level decreases </w:t>
      </w:r>
      <w:r w:rsidRPr="006C7D62">
        <w:t>with distance depends on the following factors</w:t>
      </w:r>
      <w:r w:rsidR="008013F5">
        <w:t>.</w:t>
      </w:r>
    </w:p>
    <w:p w14:paraId="06C4CE1B" w14:textId="77777777" w:rsidR="00F706B9" w:rsidRPr="00580953" w:rsidRDefault="00F706B9" w:rsidP="00F706B9">
      <w:pPr>
        <w:pStyle w:val="Heading6"/>
      </w:pPr>
      <w:bookmarkStart w:id="61" w:name="_Toc385417741"/>
      <w:bookmarkStart w:id="62" w:name="_Toc378540503"/>
      <w:bookmarkStart w:id="63" w:name="_Toc378540394"/>
      <w:bookmarkStart w:id="64" w:name="_Toc335142376"/>
      <w:bookmarkStart w:id="65" w:name="_Toc189558217"/>
      <w:bookmarkStart w:id="66" w:name="_Toc163368398"/>
      <w:r w:rsidRPr="00580953">
        <w:t>Geometric Spreading</w:t>
      </w:r>
      <w:bookmarkEnd w:id="61"/>
      <w:bookmarkEnd w:id="62"/>
      <w:bookmarkEnd w:id="63"/>
      <w:bookmarkEnd w:id="64"/>
      <w:bookmarkEnd w:id="65"/>
      <w:bookmarkEnd w:id="66"/>
    </w:p>
    <w:p w14:paraId="47239283" w14:textId="77777777" w:rsidR="00F706B9" w:rsidRPr="00580953" w:rsidRDefault="00F706B9" w:rsidP="00F706B9">
      <w:pPr>
        <w:pStyle w:val="BodyText"/>
      </w:pPr>
      <w:r w:rsidRPr="00580953">
        <w:t xml:space="preserve">Sound from a localized source (i.e., a point source) propagates uniformly outward in a spherical pattern. The sound level attenuates (or decreases) at a rate of 6 </w:t>
      </w:r>
      <w:r>
        <w:t>dB</w:t>
      </w:r>
      <w:r w:rsidRPr="00580953">
        <w:t xml:space="preserve"> for each doubling of distance from a point source. Roads and highways consist of several localized noise sources on a defined path and hence can be treated as a line source, which approximates the effect of several point sources, thus propagating at a slower rate in comparison to a point source. Noise from a line source propagates outward in a cylindrical pattern, often referred to as cylindrical spreading. Sound levels attenuate at a rate of 3 </w:t>
      </w:r>
      <w:r>
        <w:t>dB</w:t>
      </w:r>
      <w:r w:rsidRPr="00580953">
        <w:t xml:space="preserve"> for each doubling of distance from a line source.</w:t>
      </w:r>
    </w:p>
    <w:p w14:paraId="3AB887FA" w14:textId="77777777" w:rsidR="00F706B9" w:rsidRPr="00580953" w:rsidRDefault="00F706B9" w:rsidP="00F706B9">
      <w:pPr>
        <w:pStyle w:val="Heading6"/>
      </w:pPr>
      <w:bookmarkStart w:id="67" w:name="_Toc385417742"/>
      <w:bookmarkStart w:id="68" w:name="_Toc378540504"/>
      <w:bookmarkStart w:id="69" w:name="_Toc378540395"/>
      <w:bookmarkStart w:id="70" w:name="_Toc335142377"/>
      <w:bookmarkStart w:id="71" w:name="_Toc189558218"/>
      <w:bookmarkStart w:id="72" w:name="_Toc163368399"/>
      <w:r w:rsidRPr="00580953">
        <w:t>Ground Absorption</w:t>
      </w:r>
      <w:bookmarkEnd w:id="67"/>
      <w:bookmarkEnd w:id="68"/>
      <w:bookmarkEnd w:id="69"/>
      <w:bookmarkEnd w:id="70"/>
      <w:bookmarkEnd w:id="71"/>
      <w:bookmarkEnd w:id="72"/>
    </w:p>
    <w:p w14:paraId="54455A3C" w14:textId="77777777" w:rsidR="00F706B9" w:rsidRPr="00580953" w:rsidRDefault="00F706B9" w:rsidP="00F706B9">
      <w:pPr>
        <w:pStyle w:val="BodyText"/>
      </w:pPr>
      <w:r w:rsidRPr="00580953">
        <w:t xml:space="preserve">The propagation path of noise from a source to a receiver is usually very close to the ground. Noise attenuation from ground absorption and reflective-wave canceling </w:t>
      </w:r>
      <w:r>
        <w:t xml:space="preserve">provides additional </w:t>
      </w:r>
      <w:r w:rsidRPr="00580953">
        <w:t xml:space="preserve">attenuation associated with geometric spreading. Traditionally, </w:t>
      </w:r>
      <w:r>
        <w:t xml:space="preserve">this additional </w:t>
      </w:r>
      <w:r w:rsidRPr="00580953">
        <w:t xml:space="preserve">attenuation has also been expressed in terms of attenuation per doubling of distance. This approximation is usually sufficiently accurate for distances of less than 200 feet. For acoustically hard sites (i.e., sites with a reflective surface between the source and the receiver, such as a parking lot or body of water), no excess ground attenuation is assumed. For acoustically absorptive or soft sites (i.e., those sites with an absorptive ground surface between the source and the receiver, such as soft dirt, grass, or scattered bushes and trees), </w:t>
      </w:r>
      <w:r>
        <w:t xml:space="preserve">additional </w:t>
      </w:r>
      <w:r w:rsidRPr="00580953">
        <w:t xml:space="preserve">ground-attenuation value of 1.5 </w:t>
      </w:r>
      <w:r>
        <w:t>dB</w:t>
      </w:r>
      <w:r w:rsidRPr="00580953">
        <w:t xml:space="preserve"> per doubling of distance is normally assumed. When added to the </w:t>
      </w:r>
      <w:r>
        <w:t xml:space="preserve">attenuate rate associated with </w:t>
      </w:r>
      <w:r w:rsidRPr="00580953">
        <w:t xml:space="preserve">cylindrical spreading, the </w:t>
      </w:r>
      <w:r>
        <w:t xml:space="preserve">additional </w:t>
      </w:r>
      <w:r w:rsidRPr="00580953">
        <w:t xml:space="preserve">ground attenuation results in an overall drop-off rate of 4.5 </w:t>
      </w:r>
      <w:r>
        <w:t>dB</w:t>
      </w:r>
      <w:r w:rsidRPr="00580953">
        <w:t xml:space="preserve"> per doubling of distance. This would hold true for point sources, resulting in an overall drop-off rate of up to 7.5 </w:t>
      </w:r>
      <w:r>
        <w:t>dB</w:t>
      </w:r>
      <w:r w:rsidRPr="00580953">
        <w:t xml:space="preserve"> per doubling of distance.</w:t>
      </w:r>
    </w:p>
    <w:p w14:paraId="03A39687" w14:textId="77777777" w:rsidR="00F706B9" w:rsidRPr="00580953" w:rsidRDefault="00F706B9" w:rsidP="00F706B9">
      <w:pPr>
        <w:pStyle w:val="Heading6"/>
      </w:pPr>
      <w:bookmarkStart w:id="73" w:name="_Toc385417743"/>
      <w:bookmarkStart w:id="74" w:name="_Toc378540505"/>
      <w:bookmarkStart w:id="75" w:name="_Toc378540396"/>
      <w:bookmarkStart w:id="76" w:name="_Toc335142378"/>
      <w:bookmarkStart w:id="77" w:name="_Toc189558219"/>
      <w:bookmarkStart w:id="78" w:name="_Toc163368400"/>
      <w:r w:rsidRPr="00580953">
        <w:t>Atmospheric Effects</w:t>
      </w:r>
      <w:bookmarkEnd w:id="73"/>
      <w:bookmarkEnd w:id="74"/>
      <w:bookmarkEnd w:id="75"/>
      <w:bookmarkEnd w:id="76"/>
      <w:bookmarkEnd w:id="77"/>
      <w:bookmarkEnd w:id="78"/>
    </w:p>
    <w:p w14:paraId="35D26DA5" w14:textId="34366750" w:rsidR="00F706B9" w:rsidRPr="00580953" w:rsidRDefault="004529CC" w:rsidP="00F706B9">
      <w:pPr>
        <w:pStyle w:val="BodyText"/>
      </w:pPr>
      <w:r>
        <w:t>Because wind can carry sound, r</w:t>
      </w:r>
      <w:r w:rsidR="00F706B9" w:rsidRPr="00580953">
        <w:t xml:space="preserve">eceivers located downwind from a source can be exposed to increased noise levels relative to calm conditions, whereas locations upwind can have lowered noise levels. Sound levels can be increased </w:t>
      </w:r>
      <w:r w:rsidR="00F706B9">
        <w:t>over</w:t>
      </w:r>
      <w:r w:rsidR="00F706B9" w:rsidRPr="00580953">
        <w:t xml:space="preserve"> large distances (e.g., more than 500 feet) from the source because of atmospheric temperature inversion (i.e., increasing temperature with elevation). Other factors such as air temperature, humidity, and turbulence can also </w:t>
      </w:r>
      <w:r w:rsidR="00F706B9">
        <w:t>a</w:t>
      </w:r>
      <w:r w:rsidR="00F706B9" w:rsidRPr="00580953">
        <w:t>ffect</w:t>
      </w:r>
      <w:r w:rsidR="00F706B9">
        <w:t xml:space="preserve"> sound attenuation</w:t>
      </w:r>
      <w:r w:rsidR="00F706B9" w:rsidRPr="00580953">
        <w:t>.</w:t>
      </w:r>
    </w:p>
    <w:p w14:paraId="64C51A0C" w14:textId="77777777" w:rsidR="00F706B9" w:rsidRPr="00580953" w:rsidRDefault="00F706B9" w:rsidP="00F706B9">
      <w:pPr>
        <w:pStyle w:val="Heading6"/>
      </w:pPr>
      <w:bookmarkStart w:id="79" w:name="_Toc385417744"/>
      <w:bookmarkStart w:id="80" w:name="_Toc378540506"/>
      <w:bookmarkStart w:id="81" w:name="_Toc378540397"/>
      <w:bookmarkStart w:id="82" w:name="_Toc335142379"/>
      <w:bookmarkStart w:id="83" w:name="_Toc189558220"/>
      <w:bookmarkStart w:id="84" w:name="_Toc163368401"/>
      <w:r w:rsidRPr="00580953">
        <w:t>Shielding by Natural or Human-Made Features</w:t>
      </w:r>
      <w:bookmarkEnd w:id="79"/>
      <w:bookmarkEnd w:id="80"/>
      <w:bookmarkEnd w:id="81"/>
      <w:bookmarkEnd w:id="82"/>
      <w:bookmarkEnd w:id="83"/>
      <w:bookmarkEnd w:id="84"/>
    </w:p>
    <w:p w14:paraId="788526A8" w14:textId="6C251AEF" w:rsidR="00F706B9" w:rsidRPr="0073681E" w:rsidRDefault="00F706B9" w:rsidP="0073681E">
      <w:pPr>
        <w:pStyle w:val="BodyText"/>
        <w:rPr>
          <w:spacing w:val="-2"/>
        </w:rPr>
      </w:pPr>
      <w:r w:rsidRPr="0073681E">
        <w:rPr>
          <w:spacing w:val="-2"/>
        </w:rPr>
        <w:t>A large object or barrier in the path between a noise source and a receiver attenuate noise levels at the receiver. The amount of attenuation provided by shielding depends on the size of the object and the frequency content of the noise source. Natural terrain features (e.g., hills and dense woods) and human-made features (e.g., buildings and walls) can substantially reduce noise levels.</w:t>
      </w:r>
      <w:r w:rsidR="00DF0AA2" w:rsidRPr="0073681E">
        <w:rPr>
          <w:spacing w:val="-2"/>
        </w:rPr>
        <w:t xml:space="preserve"> </w:t>
      </w:r>
      <w:r w:rsidRPr="0073681E">
        <w:rPr>
          <w:spacing w:val="-2"/>
        </w:rPr>
        <w:t>A barrier that breaks the line of sight between a source and a receiver will typically result in at least 5 dB of noise reduction (Caltrans 2013:2-41</w:t>
      </w:r>
      <w:r w:rsidR="00AE5EEF" w:rsidRPr="0073681E">
        <w:rPr>
          <w:spacing w:val="-2"/>
        </w:rPr>
        <w:t>,</w:t>
      </w:r>
      <w:r w:rsidRPr="0073681E">
        <w:rPr>
          <w:spacing w:val="-2"/>
        </w:rPr>
        <w:t xml:space="preserve"> FTA 2006:5-6, 6-25). Barriers higher than the line of sight provide increased noise reduction (FTA 2006:2-12). Vegetation between the source and receiver is rarely effective in reducing noise because it does not create a solid barrier unless there are multiple rows of vegetation (FTA 2006:2-11). </w:t>
      </w:r>
    </w:p>
    <w:p w14:paraId="05CC80E8" w14:textId="0F268E18" w:rsidR="006B15BE" w:rsidRDefault="00C56322" w:rsidP="00C56322">
      <w:pPr>
        <w:pStyle w:val="Heading4"/>
      </w:pPr>
      <w:r w:rsidRPr="00580953">
        <w:t>Existing Noise Environment</w:t>
      </w:r>
    </w:p>
    <w:p w14:paraId="4CC0AFF6" w14:textId="7E3C4E54" w:rsidR="00C56322" w:rsidRPr="00580953" w:rsidRDefault="006B15BE" w:rsidP="006B15BE">
      <w:pPr>
        <w:pStyle w:val="BodyText"/>
      </w:pPr>
      <w:r>
        <w:t>Because of the varied characteristics across the treatable landscape, the existing noise environment is described by developed and undeveloped areas</w:t>
      </w:r>
      <w:r w:rsidRPr="008F1DF1">
        <w:t xml:space="preserve">. </w:t>
      </w:r>
    </w:p>
    <w:p w14:paraId="172B3C1F" w14:textId="369DFDFC" w:rsidR="00C56322" w:rsidRPr="00580953" w:rsidRDefault="00C56322" w:rsidP="00C56322">
      <w:pPr>
        <w:pStyle w:val="Heading5"/>
      </w:pPr>
      <w:r w:rsidRPr="00580953">
        <w:t>Existing Noise-Sensitive Land Uses</w:t>
      </w:r>
    </w:p>
    <w:p w14:paraId="2E360DAD" w14:textId="262633E4" w:rsidR="00615A09" w:rsidRDefault="00615A09" w:rsidP="006021CD">
      <w:pPr>
        <w:pStyle w:val="BodyText"/>
      </w:pPr>
      <w:r w:rsidRPr="00580953">
        <w:t>Noise-sensitive land uses are generally considered to include those uses where noise exposure could result in health-related risks to individuals, as well as places where quiet is an essential element of their intended purpose. Residential dwellings are of primary concern because of the potential for increased and prolonged exposure of individuals to both interior and exterior noise levels</w:t>
      </w:r>
      <w:r>
        <w:t>, and because of the potential for nighttime noise to result in sleep disruption</w:t>
      </w:r>
      <w:r w:rsidRPr="00580953">
        <w:t xml:space="preserve">. Additional land uses such as schools, </w:t>
      </w:r>
      <w:r>
        <w:t xml:space="preserve">transient lodging, </w:t>
      </w:r>
      <w:r w:rsidRPr="00580953">
        <w:t xml:space="preserve">historic sites, cemeteries, and </w:t>
      </w:r>
      <w:r>
        <w:t>places of worship</w:t>
      </w:r>
      <w:r w:rsidRPr="00580953">
        <w:t xml:space="preserve"> are also </w:t>
      </w:r>
      <w:r w:rsidRPr="00580953">
        <w:lastRenderedPageBreak/>
        <w:t xml:space="preserve">generally considered sensitive to increases in noise levels. </w:t>
      </w:r>
      <w:r>
        <w:t xml:space="preserve">These land use types </w:t>
      </w:r>
      <w:r w:rsidRPr="00580953">
        <w:t>are also considered vibration-sensitive land uses</w:t>
      </w:r>
      <w:r w:rsidR="00BE77FB">
        <w:t xml:space="preserve">, as are </w:t>
      </w:r>
      <w:r w:rsidRPr="00580953">
        <w:t xml:space="preserve">commercial and industrial buildings where vibration would interfere with operations within the building, including levels that may be well below those associated with human annoyance. </w:t>
      </w:r>
    </w:p>
    <w:p w14:paraId="4733E762" w14:textId="0B5FD69C" w:rsidR="00F672C4" w:rsidRPr="00615A09" w:rsidRDefault="00F672C4" w:rsidP="006021CD">
      <w:pPr>
        <w:pStyle w:val="BodyText"/>
      </w:pPr>
      <w:r w:rsidRPr="00F672C4">
        <w:t>Portions of the treatable landscape are adjacent to developed areas, including residential communities, commercial and industrial parks, roadways, and freeways and highways. Residences and other buildings</w:t>
      </w:r>
      <w:r w:rsidR="00952825">
        <w:t xml:space="preserve"> </w:t>
      </w:r>
      <w:r w:rsidRPr="00F672C4">
        <w:t>are</w:t>
      </w:r>
      <w:r w:rsidR="00952825">
        <w:t xml:space="preserve"> present</w:t>
      </w:r>
      <w:r w:rsidRPr="00F672C4">
        <w:t xml:space="preserve"> in some more developed areas of the treatable landscape.</w:t>
      </w:r>
      <w:r>
        <w:t xml:space="preserve"> </w:t>
      </w:r>
      <w:r w:rsidR="00615A09">
        <w:t>Therefore, the likelihood is high that noise-sensitive receptors could be in close proximity to vegetation treatment</w:t>
      </w:r>
      <w:r w:rsidR="006B15BE">
        <w:t>s</w:t>
      </w:r>
      <w:r w:rsidR="00615A09">
        <w:t xml:space="preserve">. </w:t>
      </w:r>
    </w:p>
    <w:p w14:paraId="3B429923" w14:textId="60E03236" w:rsidR="00F672C4" w:rsidRPr="00615A09" w:rsidRDefault="006B15BE" w:rsidP="006021CD">
      <w:pPr>
        <w:pStyle w:val="BodyText"/>
      </w:pPr>
      <w:r>
        <w:t xml:space="preserve">Most of </w:t>
      </w:r>
      <w:r w:rsidR="00A349EC">
        <w:t>the treatable</w:t>
      </w:r>
      <w:r w:rsidR="00F672C4">
        <w:t xml:space="preserve"> landscape</w:t>
      </w:r>
      <w:r w:rsidR="00FB7841">
        <w:t xml:space="preserve"> </w:t>
      </w:r>
      <w:r>
        <w:t>is</w:t>
      </w:r>
      <w:r w:rsidR="00F672C4">
        <w:t xml:space="preserve"> undeveloped and rural. These areas are composed of dense forests, grasslands, and other vegetation and generally have little urban intrusion. Because these undeveloped areas are </w:t>
      </w:r>
      <w:r>
        <w:t xml:space="preserve">primarily </w:t>
      </w:r>
      <w:r w:rsidR="00F672C4">
        <w:t>on private lands, no public access is permitted, and few trails or roadways are present.</w:t>
      </w:r>
      <w:r>
        <w:t xml:space="preserve"> Scattered residences </w:t>
      </w:r>
      <w:r w:rsidR="007028FD">
        <w:t xml:space="preserve">also </w:t>
      </w:r>
      <w:r>
        <w:t>exist</w:t>
      </w:r>
      <w:r w:rsidR="007028FD">
        <w:t xml:space="preserve"> in the rural areas of the treatable landscape</w:t>
      </w:r>
      <w:r w:rsidR="00F672C4" w:rsidRPr="008D0FA7">
        <w:t>.</w:t>
      </w:r>
      <w:r w:rsidR="00D67A1F" w:rsidRPr="00D67A1F">
        <w:t xml:space="preserve"> </w:t>
      </w:r>
    </w:p>
    <w:p w14:paraId="53DE4D4B" w14:textId="2192AC2A" w:rsidR="00FE4EBF" w:rsidRDefault="00FE4EBF" w:rsidP="00FE4EBF">
      <w:pPr>
        <w:pStyle w:val="Heading5"/>
      </w:pPr>
      <w:r w:rsidRPr="00580953">
        <w:t>Existing Noise Sources and Ambient Levels</w:t>
      </w:r>
    </w:p>
    <w:p w14:paraId="03240671" w14:textId="0FA1610B" w:rsidR="00C14781" w:rsidRDefault="000D4247" w:rsidP="006021CD">
      <w:pPr>
        <w:pStyle w:val="BodyText"/>
      </w:pPr>
      <w:r>
        <w:t xml:space="preserve">In </w:t>
      </w:r>
      <w:r w:rsidR="00BF10AA">
        <w:t xml:space="preserve">developed areas near </w:t>
      </w:r>
      <w:r>
        <w:t xml:space="preserve">treatable landscape </w:t>
      </w:r>
      <w:r w:rsidR="00BF10AA">
        <w:t>areas</w:t>
      </w:r>
      <w:r>
        <w:t>, typical noise sources include</w:t>
      </w:r>
      <w:r w:rsidR="00BF10AA">
        <w:t xml:space="preserve"> those associated with</w:t>
      </w:r>
      <w:r>
        <w:t xml:space="preserve"> </w:t>
      </w:r>
      <w:r w:rsidR="004C2540" w:rsidRPr="00F672C4">
        <w:t>residential communities, commercial and industrial parks, roadways, and freeways and highways.</w:t>
      </w:r>
      <w:r w:rsidR="004C2540">
        <w:t xml:space="preserve"> </w:t>
      </w:r>
      <w:r w:rsidR="0029727A">
        <w:t xml:space="preserve">The ambient noise environment in developed areas would be primarily influenced by vehicle traffic along nearby roadway, freeways, and highways. </w:t>
      </w:r>
      <w:r>
        <w:t xml:space="preserve">Most of the </w:t>
      </w:r>
      <w:r w:rsidR="008D391E">
        <w:t xml:space="preserve">treatable landscape </w:t>
      </w:r>
      <w:r>
        <w:t>is</w:t>
      </w:r>
      <w:r w:rsidR="008D391E">
        <w:t xml:space="preserve"> undeveloped and rural. The </w:t>
      </w:r>
      <w:r w:rsidR="00026587">
        <w:t>noise sources</w:t>
      </w:r>
      <w:r w:rsidR="008D391E">
        <w:t xml:space="preserve"> in the areas where </w:t>
      </w:r>
      <w:r w:rsidR="00157359">
        <w:t>there</w:t>
      </w:r>
      <w:r w:rsidR="008D391E">
        <w:t xml:space="preserve"> is little </w:t>
      </w:r>
      <w:r w:rsidR="00157359">
        <w:t>development</w:t>
      </w:r>
      <w:r w:rsidR="008D391E">
        <w:t xml:space="preserve"> </w:t>
      </w:r>
      <w:r w:rsidR="007028FD">
        <w:t>typically</w:t>
      </w:r>
      <w:r w:rsidR="008D391E">
        <w:t xml:space="preserve"> </w:t>
      </w:r>
      <w:r w:rsidR="007E2824">
        <w:t>consist of</w:t>
      </w:r>
      <w:r w:rsidR="008D391E">
        <w:t xml:space="preserve"> </w:t>
      </w:r>
      <w:r w:rsidR="00026587">
        <w:t>natural sounds</w:t>
      </w:r>
      <w:r>
        <w:t xml:space="preserve">. </w:t>
      </w:r>
      <w:r w:rsidR="0029727A">
        <w:t>The ambient noise environment of rural and undeveloped areas within the treatable landscape varies</w:t>
      </w:r>
      <w:r w:rsidR="0099765F">
        <w:t xml:space="preserve"> based on nearby noise sources</w:t>
      </w:r>
      <w:r w:rsidR="0029727A">
        <w:t xml:space="preserve">; however, as shown in Table 3.13-1 quiet rural nighttime noise levels are typically </w:t>
      </w:r>
      <w:r w:rsidR="0099765F">
        <w:t xml:space="preserve">approximately 20 </w:t>
      </w:r>
      <w:proofErr w:type="spellStart"/>
      <w:r w:rsidR="0099765F">
        <w:t>dB.</w:t>
      </w:r>
      <w:proofErr w:type="spellEnd"/>
      <w:r w:rsidR="0099765F">
        <w:t xml:space="preserve"> </w:t>
      </w:r>
    </w:p>
    <w:p w14:paraId="1294C6D0" w14:textId="3F0A31A4" w:rsidR="005C26A1" w:rsidRPr="004C2540" w:rsidRDefault="007028FD" w:rsidP="006021CD">
      <w:pPr>
        <w:pStyle w:val="BodyText"/>
      </w:pPr>
      <w:r>
        <w:t xml:space="preserve">Vegetation treatments are currently implemented </w:t>
      </w:r>
      <w:r w:rsidR="00372F0E">
        <w:t xml:space="preserve">within </w:t>
      </w:r>
      <w:r>
        <w:t>the treatable landscape by CAL FIRE</w:t>
      </w:r>
      <w:r w:rsidR="000B3EC0">
        <w:t xml:space="preserve"> and result in temporary increases in noise.</w:t>
      </w:r>
      <w:r>
        <w:t xml:space="preserve"> </w:t>
      </w:r>
      <w:r w:rsidR="000B3EC0">
        <w:t xml:space="preserve">Noise sources from current vegetation treatments (i.e., prescribed burning and manual and mechanical treatments) include masticators, chippers, bulldozers, skid steers, excavators, and chainsaws. </w:t>
      </w:r>
      <w:bookmarkStart w:id="85" w:name="_Hlk6761189"/>
      <w:r w:rsidR="0059663B">
        <w:t xml:space="preserve">As described in Chapter 1, </w:t>
      </w:r>
      <w:r w:rsidR="00DF0AA2">
        <w:t>“</w:t>
      </w:r>
      <w:r w:rsidR="0059663B">
        <w:t>Introduction</w:t>
      </w:r>
      <w:r w:rsidR="00A67AF4">
        <w:t>,</w:t>
      </w:r>
      <w:r w:rsidR="00DF0AA2">
        <w:t>”</w:t>
      </w:r>
      <w:r w:rsidR="0059663B">
        <w:t xml:space="preserve"> and Section 2.3.1, </w:t>
      </w:r>
      <w:r w:rsidR="00DF0AA2">
        <w:t>“</w:t>
      </w:r>
      <w:r w:rsidR="0059663B">
        <w:t>Past and Current Treatments,</w:t>
      </w:r>
      <w:r w:rsidR="00DF0AA2">
        <w:t>”</w:t>
      </w:r>
      <w:r w:rsidR="0059663B">
        <w:t xml:space="preserve"> </w:t>
      </w:r>
      <w:bookmarkEnd w:id="85"/>
      <w:r w:rsidR="0059663B">
        <w:t xml:space="preserve">vegetation </w:t>
      </w:r>
      <w:r w:rsidR="0059663B" w:rsidRPr="00194756">
        <w:t>treatment currently occurs around the state under</w:t>
      </w:r>
      <w:r w:rsidR="0059663B">
        <w:t xml:space="preserve"> several other wildfire risk reduction programs implemented by various federal, state, and local agencies. In 2017–2018, CAL FIRE treated approximately 33,000 acres in California using the same treatment activities as proposed under the CalVTP.</w:t>
      </w:r>
      <w:r>
        <w:t xml:space="preserve"> Vegetation treatments occur in undeveloped areas but can also occur near development. </w:t>
      </w:r>
    </w:p>
    <w:p w14:paraId="3CE66E31" w14:textId="7D839441" w:rsidR="003E10E8" w:rsidRPr="009A0F30" w:rsidRDefault="003E10E8" w:rsidP="003E10E8">
      <w:pPr>
        <w:pStyle w:val="Heading3"/>
      </w:pPr>
      <w:r>
        <w:t xml:space="preserve">Regulatory </w:t>
      </w:r>
      <w:r w:rsidR="00E2183C">
        <w:t>Setting</w:t>
      </w:r>
    </w:p>
    <w:p w14:paraId="6F1E1847" w14:textId="4AE2F49B" w:rsidR="003E10E8" w:rsidRDefault="003E10E8" w:rsidP="003E10E8">
      <w:pPr>
        <w:pStyle w:val="Heading4"/>
      </w:pPr>
      <w:r>
        <w:t>Federal</w:t>
      </w:r>
    </w:p>
    <w:p w14:paraId="7C4EAE3F" w14:textId="365C5271" w:rsidR="00BB1612" w:rsidRDefault="00BB1612" w:rsidP="00BB1612">
      <w:pPr>
        <w:pStyle w:val="Heading5"/>
      </w:pPr>
      <w:r>
        <w:t>U.S. Environmental Protection Agency Office of Noise Abatement and Control</w:t>
      </w:r>
    </w:p>
    <w:p w14:paraId="6131FE88" w14:textId="5EFA6347" w:rsidR="00BB1612" w:rsidRDefault="00BB1612" w:rsidP="00BB1612">
      <w:pPr>
        <w:pStyle w:val="BodyText"/>
      </w:pPr>
      <w:r>
        <w:t xml:space="preserve">The </w:t>
      </w:r>
      <w:bookmarkStart w:id="86" w:name="_Hlk8113849"/>
      <w:r>
        <w:t>U.S. Environmental Protection Agency (EPA</w:t>
      </w:r>
      <w:bookmarkEnd w:id="86"/>
      <w:r>
        <w:t xml:space="preserve">) Office of Noise Abatement and Control was originally established to coordinate Federal noise control activities. In 1981, EPA administrators determined that subjective issues such as noise would be better addressed at more local levels of government. Consequently, in 1982 responsibilities for regulating noise control policies were transferred to state and local governments. However, documents and research completed by the EPA Office of Noise Abatement and Control continue to provide value in the analysis of noise effects. </w:t>
      </w:r>
    </w:p>
    <w:p w14:paraId="48CEC82E" w14:textId="117EBC59" w:rsidR="003E10E8" w:rsidRDefault="003E10E8" w:rsidP="00BB1612">
      <w:pPr>
        <w:pStyle w:val="Heading4"/>
      </w:pPr>
      <w:r w:rsidRPr="00C145FF">
        <w:t>State</w:t>
      </w:r>
    </w:p>
    <w:p w14:paraId="659EBE59" w14:textId="0D966C4A" w:rsidR="00BB1612" w:rsidRDefault="00BB1612" w:rsidP="00BB1612">
      <w:pPr>
        <w:pStyle w:val="Heading5"/>
      </w:pPr>
      <w:bookmarkStart w:id="87" w:name="_Hlk2693060"/>
      <w:bookmarkStart w:id="88" w:name="_Toc330915509"/>
      <w:bookmarkStart w:id="89" w:name="_Toc321483590"/>
      <w:r>
        <w:t>California General Plan Guidelines</w:t>
      </w:r>
      <w:r w:rsidR="005A5AD3">
        <w:t xml:space="preserve"> for Noise Elements</w:t>
      </w:r>
    </w:p>
    <w:bookmarkEnd w:id="87"/>
    <w:p w14:paraId="466A8D28" w14:textId="20D8CCEA" w:rsidR="00B362F3" w:rsidRPr="00C3291A" w:rsidRDefault="00BB1612" w:rsidP="006021CD">
      <w:pPr>
        <w:pStyle w:val="BodyText"/>
      </w:pPr>
      <w:r>
        <w:t>The State of California General Plan Guidelines 2017, published by the California Governor</w:t>
      </w:r>
      <w:r w:rsidR="00DF0AA2">
        <w:t>’</w:t>
      </w:r>
      <w:r>
        <w:t>s Office of Planning and Research (2017), provides guidance for the compatibility of projects within areas of specific noise exposure. Acceptable and unacceptable community noise exposure limits for various land use categories have been determined to help guide new land use decisions in California communities. In ma</w:t>
      </w:r>
      <w:r w:rsidRPr="00C3291A">
        <w:t>ny local jurisdictions, these guidelines are used to derive local noise standards and guidance.</w:t>
      </w:r>
      <w:r w:rsidR="00DF0AA2">
        <w:t xml:space="preserve"> </w:t>
      </w:r>
      <w:r w:rsidR="00677CD3" w:rsidRPr="00C3291A">
        <w:t>These guidelines are presented in Table 3.13-</w:t>
      </w:r>
      <w:r w:rsidR="002B51C5" w:rsidRPr="00C3291A">
        <w:t>3</w:t>
      </w:r>
      <w:r w:rsidR="00677CD3" w:rsidRPr="00C3291A">
        <w:t xml:space="preserve">. </w:t>
      </w:r>
      <w:r w:rsidRPr="00C3291A">
        <w:t xml:space="preserve">Citing EPA materials </w:t>
      </w:r>
      <w:r w:rsidRPr="00C3291A">
        <w:lastRenderedPageBreak/>
        <w:t>and the State Sound Transmissions Control Standards, the State</w:t>
      </w:r>
      <w:r w:rsidR="00DF0AA2">
        <w:t>’</w:t>
      </w:r>
      <w:r w:rsidRPr="00C3291A">
        <w:t>s general plan guidelines recommend interior and exterior CNEL of 45 and 60 dB for</w:t>
      </w:r>
      <w:r w:rsidR="00C16CDB" w:rsidRPr="00C3291A">
        <w:t xml:space="preserve"> </w:t>
      </w:r>
      <w:r w:rsidRPr="00C3291A">
        <w:t>residential units, respectively (</w:t>
      </w:r>
      <w:bookmarkStart w:id="90" w:name="_Hlk6252252"/>
      <w:r w:rsidRPr="00C3291A">
        <w:t>OPR 2017:378</w:t>
      </w:r>
      <w:bookmarkEnd w:id="90"/>
      <w:r w:rsidRPr="00C3291A">
        <w:t>).</w:t>
      </w:r>
      <w:r w:rsidR="00165CDF" w:rsidRPr="00C3291A">
        <w:t xml:space="preserve"> </w:t>
      </w:r>
      <w:r w:rsidR="008E7668" w:rsidRPr="00C3291A">
        <w:t xml:space="preserve">For commercial land uses, the guidelines recommend an exterior CNEL of </w:t>
      </w:r>
      <w:r w:rsidR="00451FE8" w:rsidRPr="00C3291A">
        <w:t xml:space="preserve">up to </w:t>
      </w:r>
      <w:r w:rsidR="008E7668" w:rsidRPr="00C3291A">
        <w:t>65 dB for multi-family residential</w:t>
      </w:r>
      <w:r w:rsidR="00451FE8" w:rsidRPr="00C3291A">
        <w:t xml:space="preserve"> building and hotels, 70</w:t>
      </w:r>
      <w:r w:rsidR="00C16CDB" w:rsidRPr="00C3291A">
        <w:t xml:space="preserve"> </w:t>
      </w:r>
      <w:r w:rsidR="00451FE8" w:rsidRPr="00C3291A">
        <w:t>dB for office buildings, schools, libraries and churches, and 75 dB for industrial, agricultural and recreational land uses.</w:t>
      </w:r>
      <w:r w:rsidR="00DF0AA2">
        <w:t xml:space="preserve"> </w:t>
      </w:r>
    </w:p>
    <w:p w14:paraId="32EAE393" w14:textId="77777777" w:rsidR="0073681E" w:rsidRDefault="0073681E" w:rsidP="008D391E">
      <w:pPr>
        <w:pStyle w:val="TableHeader"/>
      </w:pPr>
      <w:bookmarkStart w:id="91" w:name="_Toc23837259"/>
      <w:r w:rsidRPr="00C3291A">
        <w:t>Table 3.13-3</w:t>
      </w:r>
      <w:r w:rsidRPr="00C3291A">
        <w:tab/>
        <w:t>General Plan Community Noise Exposure Guidance by Land Use</w:t>
      </w:r>
      <w:bookmarkEnd w:id="91"/>
    </w:p>
    <w:tbl>
      <w:tblPr>
        <w:tblW w:w="10080" w:type="dxa"/>
        <w:jc w:val="center"/>
        <w:tblBorders>
          <w:insideH w:val="single" w:sz="4" w:space="0" w:color="auto"/>
          <w:insideV w:val="single" w:sz="4" w:space="0" w:color="auto"/>
        </w:tblBorders>
        <w:tblLayout w:type="fixed"/>
        <w:tblCellMar>
          <w:top w:w="29" w:type="dxa"/>
          <w:left w:w="43" w:type="dxa"/>
          <w:bottom w:w="29" w:type="dxa"/>
          <w:right w:w="43" w:type="dxa"/>
        </w:tblCellMar>
        <w:tblLook w:val="01E0" w:firstRow="1" w:lastRow="1" w:firstColumn="1" w:lastColumn="1" w:noHBand="0" w:noVBand="0"/>
      </w:tblPr>
      <w:tblGrid>
        <w:gridCol w:w="4050"/>
        <w:gridCol w:w="1507"/>
        <w:gridCol w:w="1508"/>
        <w:gridCol w:w="1507"/>
        <w:gridCol w:w="1508"/>
      </w:tblGrid>
      <w:tr w:rsidR="00677CD3" w14:paraId="049D78E1" w14:textId="77777777" w:rsidTr="00935CAF">
        <w:trPr>
          <w:tblHeader/>
          <w:jc w:val="center"/>
        </w:trPr>
        <w:tc>
          <w:tcPr>
            <w:tcW w:w="40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AD5C4E" w14:textId="03F3C668" w:rsidR="00677CD3" w:rsidRDefault="0073681E" w:rsidP="0073681E">
            <w:pPr>
              <w:pStyle w:val="TableColumn"/>
            </w:pPr>
            <w:r>
              <w:t>Land Use Category</w:t>
            </w:r>
          </w:p>
        </w:tc>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AF87F" w14:textId="12C60639" w:rsidR="00677CD3" w:rsidRPr="00B362F3" w:rsidRDefault="0073681E" w:rsidP="008D391E">
            <w:pPr>
              <w:pStyle w:val="TableColumn"/>
              <w:rPr>
                <w:vertAlign w:val="superscript"/>
              </w:rPr>
            </w:pPr>
            <w:r>
              <w:t xml:space="preserve">Noise Exposure Ranges (dB CNEL) </w:t>
            </w:r>
            <w:r w:rsidR="00677CD3">
              <w:t xml:space="preserve">Normally Acceptable </w:t>
            </w:r>
            <w:r w:rsidR="00677CD3">
              <w:rPr>
                <w:vertAlign w:val="superscript"/>
              </w:rPr>
              <w:t>1</w:t>
            </w:r>
          </w:p>
        </w:tc>
        <w:tc>
          <w:tcPr>
            <w:tcW w:w="1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C0A02" w14:textId="062113A2" w:rsidR="00677CD3" w:rsidRPr="00B362F3" w:rsidRDefault="0073681E" w:rsidP="008D391E">
            <w:pPr>
              <w:pStyle w:val="TableColumn"/>
              <w:rPr>
                <w:vertAlign w:val="superscript"/>
              </w:rPr>
            </w:pPr>
            <w:r>
              <w:t xml:space="preserve">Noise Exposure Ranges (dB CNEL) </w:t>
            </w:r>
            <w:r w:rsidR="00677CD3">
              <w:t xml:space="preserve">Conditionally Acceptable </w:t>
            </w:r>
            <w:r w:rsidR="00677CD3">
              <w:rPr>
                <w:vertAlign w:val="superscript"/>
              </w:rPr>
              <w:t>2</w:t>
            </w:r>
          </w:p>
        </w:tc>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8E1D2" w14:textId="5D8BFAB6" w:rsidR="00677CD3" w:rsidRDefault="0073681E" w:rsidP="008D391E">
            <w:pPr>
              <w:pStyle w:val="TableColumn"/>
            </w:pPr>
            <w:r>
              <w:t xml:space="preserve">Noise Exposure Ranges (dB CNEL) </w:t>
            </w:r>
            <w:r w:rsidR="00677CD3">
              <w:t xml:space="preserve">Normally Unacceptable </w:t>
            </w:r>
            <w:r w:rsidR="00677CD3">
              <w:rPr>
                <w:vertAlign w:val="superscript"/>
              </w:rPr>
              <w:t>3</w:t>
            </w:r>
          </w:p>
        </w:tc>
        <w:tc>
          <w:tcPr>
            <w:tcW w:w="150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87BE8C4" w14:textId="3F7EA2AA" w:rsidR="00677CD3" w:rsidRPr="00B362F3" w:rsidRDefault="0073681E" w:rsidP="008D391E">
            <w:pPr>
              <w:pStyle w:val="TableColumn"/>
              <w:rPr>
                <w:vertAlign w:val="superscript"/>
              </w:rPr>
            </w:pPr>
            <w:r>
              <w:t xml:space="preserve">Noise Exposure Ranges (dB CNEL) </w:t>
            </w:r>
            <w:r w:rsidR="00677CD3">
              <w:t xml:space="preserve">Clearly Unacceptable </w:t>
            </w:r>
            <w:r w:rsidR="00D97104">
              <w:rPr>
                <w:vertAlign w:val="superscript"/>
              </w:rPr>
              <w:t>4</w:t>
            </w:r>
          </w:p>
        </w:tc>
      </w:tr>
      <w:tr w:rsidR="00677CD3" w14:paraId="440CBE2B" w14:textId="77777777" w:rsidTr="00E77F17">
        <w:trPr>
          <w:jc w:val="center"/>
        </w:trPr>
        <w:tc>
          <w:tcPr>
            <w:tcW w:w="4050" w:type="dxa"/>
            <w:tcBorders>
              <w:top w:val="single" w:sz="4" w:space="0" w:color="auto"/>
              <w:left w:val="nil"/>
              <w:bottom w:val="single" w:sz="4" w:space="0" w:color="auto"/>
              <w:right w:val="single" w:sz="4" w:space="0" w:color="auto"/>
            </w:tcBorders>
            <w:hideMark/>
          </w:tcPr>
          <w:p w14:paraId="28330E3B" w14:textId="77777777" w:rsidR="00677CD3" w:rsidRPr="00C0246B" w:rsidRDefault="00677CD3" w:rsidP="008D391E">
            <w:pPr>
              <w:pStyle w:val="TableText"/>
              <w:jc w:val="left"/>
            </w:pPr>
            <w:r w:rsidRPr="00C0246B">
              <w:t>Single-family</w:t>
            </w:r>
            <w:r>
              <w:t xml:space="preserve"> residential</w:t>
            </w:r>
            <w:r w:rsidRPr="00C0246B">
              <w:t>,</w:t>
            </w:r>
            <w:r>
              <w:t xml:space="preserve"> duplexes,</w:t>
            </w:r>
            <w:r w:rsidRPr="00C0246B">
              <w:t xml:space="preserve"> mobile homes</w:t>
            </w:r>
          </w:p>
        </w:tc>
        <w:tc>
          <w:tcPr>
            <w:tcW w:w="1507" w:type="dxa"/>
            <w:tcBorders>
              <w:top w:val="single" w:sz="4" w:space="0" w:color="auto"/>
              <w:left w:val="single" w:sz="4" w:space="0" w:color="auto"/>
              <w:bottom w:val="single" w:sz="4" w:space="0" w:color="auto"/>
              <w:right w:val="single" w:sz="4" w:space="0" w:color="auto"/>
            </w:tcBorders>
            <w:vAlign w:val="center"/>
            <w:hideMark/>
          </w:tcPr>
          <w:p w14:paraId="49B5B3A4" w14:textId="77777777" w:rsidR="00677CD3" w:rsidRDefault="00677CD3" w:rsidP="008D391E">
            <w:pPr>
              <w:pStyle w:val="TableText"/>
            </w:pPr>
            <w:r w:rsidRPr="003E7C1C">
              <w:t>&lt;</w:t>
            </w:r>
            <w:r>
              <w:t>60</w:t>
            </w:r>
          </w:p>
        </w:tc>
        <w:tc>
          <w:tcPr>
            <w:tcW w:w="1508" w:type="dxa"/>
            <w:tcBorders>
              <w:top w:val="single" w:sz="4" w:space="0" w:color="auto"/>
              <w:left w:val="single" w:sz="4" w:space="0" w:color="auto"/>
              <w:bottom w:val="single" w:sz="4" w:space="0" w:color="auto"/>
              <w:right w:val="single" w:sz="4" w:space="0" w:color="auto"/>
            </w:tcBorders>
            <w:vAlign w:val="center"/>
            <w:hideMark/>
          </w:tcPr>
          <w:p w14:paraId="5AB97BFC" w14:textId="77777777" w:rsidR="00677CD3" w:rsidRDefault="00677CD3" w:rsidP="008D391E">
            <w:pPr>
              <w:pStyle w:val="TableText"/>
            </w:pPr>
            <w:r>
              <w:t>55-70</w:t>
            </w:r>
          </w:p>
        </w:tc>
        <w:tc>
          <w:tcPr>
            <w:tcW w:w="1507" w:type="dxa"/>
            <w:tcBorders>
              <w:top w:val="single" w:sz="4" w:space="0" w:color="auto"/>
              <w:left w:val="single" w:sz="4" w:space="0" w:color="auto"/>
              <w:bottom w:val="single" w:sz="4" w:space="0" w:color="auto"/>
              <w:right w:val="single" w:sz="4" w:space="0" w:color="auto"/>
            </w:tcBorders>
            <w:vAlign w:val="center"/>
          </w:tcPr>
          <w:p w14:paraId="18D6517C" w14:textId="77777777" w:rsidR="00677CD3" w:rsidRDefault="00677CD3" w:rsidP="008D391E">
            <w:pPr>
              <w:pStyle w:val="TableText"/>
            </w:pPr>
            <w:r>
              <w:t>70-75</w:t>
            </w:r>
          </w:p>
        </w:tc>
        <w:tc>
          <w:tcPr>
            <w:tcW w:w="1508" w:type="dxa"/>
            <w:tcBorders>
              <w:top w:val="single" w:sz="4" w:space="0" w:color="auto"/>
              <w:left w:val="single" w:sz="4" w:space="0" w:color="auto"/>
              <w:bottom w:val="single" w:sz="4" w:space="0" w:color="auto"/>
              <w:right w:val="nil"/>
            </w:tcBorders>
            <w:vAlign w:val="center"/>
            <w:hideMark/>
          </w:tcPr>
          <w:p w14:paraId="7100BAD7" w14:textId="77777777" w:rsidR="00677CD3" w:rsidRDefault="00677CD3" w:rsidP="008D391E">
            <w:pPr>
              <w:pStyle w:val="TableText"/>
            </w:pPr>
            <w:r w:rsidRPr="00C0246B">
              <w:t>&gt;</w:t>
            </w:r>
            <w:r>
              <w:t>75</w:t>
            </w:r>
          </w:p>
        </w:tc>
      </w:tr>
      <w:tr w:rsidR="00677CD3" w14:paraId="29C863AA" w14:textId="77777777" w:rsidTr="00E77F17">
        <w:trPr>
          <w:jc w:val="center"/>
        </w:trPr>
        <w:tc>
          <w:tcPr>
            <w:tcW w:w="4050" w:type="dxa"/>
            <w:tcBorders>
              <w:top w:val="single" w:sz="4" w:space="0" w:color="auto"/>
              <w:left w:val="nil"/>
              <w:bottom w:val="single" w:sz="4" w:space="0" w:color="auto"/>
              <w:right w:val="single" w:sz="4" w:space="0" w:color="auto"/>
            </w:tcBorders>
            <w:hideMark/>
          </w:tcPr>
          <w:p w14:paraId="37E85F66" w14:textId="77777777" w:rsidR="00677CD3" w:rsidRPr="00C0246B" w:rsidRDefault="00677CD3" w:rsidP="008D391E">
            <w:pPr>
              <w:pStyle w:val="TableText"/>
              <w:jc w:val="left"/>
            </w:pPr>
            <w:r w:rsidRPr="00C0246B">
              <w:t>Multi-family</w:t>
            </w:r>
            <w:r>
              <w:t xml:space="preserve"> residential </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8A0957B" w14:textId="77777777" w:rsidR="00677CD3" w:rsidRDefault="00677CD3" w:rsidP="008D391E">
            <w:pPr>
              <w:pStyle w:val="TableText"/>
            </w:pPr>
            <w:r w:rsidRPr="003E7C1C">
              <w:t>&lt;</w:t>
            </w:r>
            <w:r>
              <w:t>65</w:t>
            </w:r>
          </w:p>
        </w:tc>
        <w:tc>
          <w:tcPr>
            <w:tcW w:w="1508" w:type="dxa"/>
            <w:tcBorders>
              <w:top w:val="single" w:sz="4" w:space="0" w:color="auto"/>
              <w:left w:val="single" w:sz="4" w:space="0" w:color="auto"/>
              <w:bottom w:val="single" w:sz="4" w:space="0" w:color="auto"/>
              <w:right w:val="single" w:sz="4" w:space="0" w:color="auto"/>
            </w:tcBorders>
            <w:vAlign w:val="center"/>
            <w:hideMark/>
          </w:tcPr>
          <w:p w14:paraId="7393902F" w14:textId="77777777" w:rsidR="00677CD3" w:rsidRDefault="00677CD3" w:rsidP="008D391E">
            <w:pPr>
              <w:pStyle w:val="TableText"/>
            </w:pPr>
            <w:r>
              <w:t>60-70</w:t>
            </w:r>
          </w:p>
        </w:tc>
        <w:tc>
          <w:tcPr>
            <w:tcW w:w="1507" w:type="dxa"/>
            <w:tcBorders>
              <w:top w:val="single" w:sz="4" w:space="0" w:color="auto"/>
              <w:left w:val="single" w:sz="4" w:space="0" w:color="auto"/>
              <w:bottom w:val="single" w:sz="4" w:space="0" w:color="auto"/>
              <w:right w:val="single" w:sz="4" w:space="0" w:color="auto"/>
            </w:tcBorders>
            <w:vAlign w:val="center"/>
          </w:tcPr>
          <w:p w14:paraId="7F0F489E" w14:textId="77777777" w:rsidR="00677CD3" w:rsidRDefault="00677CD3" w:rsidP="008D391E">
            <w:pPr>
              <w:pStyle w:val="TableText"/>
            </w:pPr>
            <w:r>
              <w:t>70-75</w:t>
            </w:r>
          </w:p>
        </w:tc>
        <w:tc>
          <w:tcPr>
            <w:tcW w:w="1508" w:type="dxa"/>
            <w:tcBorders>
              <w:top w:val="single" w:sz="4" w:space="0" w:color="auto"/>
              <w:left w:val="single" w:sz="4" w:space="0" w:color="auto"/>
              <w:bottom w:val="single" w:sz="4" w:space="0" w:color="auto"/>
              <w:right w:val="nil"/>
            </w:tcBorders>
            <w:vAlign w:val="center"/>
            <w:hideMark/>
          </w:tcPr>
          <w:p w14:paraId="0861C4D2" w14:textId="77777777" w:rsidR="00677CD3" w:rsidRDefault="00677CD3" w:rsidP="008D391E">
            <w:pPr>
              <w:pStyle w:val="TableText"/>
            </w:pPr>
            <w:r w:rsidRPr="00C0246B">
              <w:t>&gt;</w:t>
            </w:r>
            <w:r>
              <w:t>75</w:t>
            </w:r>
          </w:p>
        </w:tc>
      </w:tr>
      <w:tr w:rsidR="00677CD3" w14:paraId="7F418A5C" w14:textId="77777777" w:rsidTr="00E77F17">
        <w:trPr>
          <w:jc w:val="center"/>
        </w:trPr>
        <w:tc>
          <w:tcPr>
            <w:tcW w:w="4050" w:type="dxa"/>
            <w:tcBorders>
              <w:top w:val="single" w:sz="4" w:space="0" w:color="auto"/>
              <w:left w:val="nil"/>
              <w:bottom w:val="single" w:sz="4" w:space="0" w:color="auto"/>
              <w:right w:val="single" w:sz="4" w:space="0" w:color="auto"/>
            </w:tcBorders>
          </w:tcPr>
          <w:p w14:paraId="07A42D27" w14:textId="77777777" w:rsidR="00677CD3" w:rsidRDefault="00677CD3" w:rsidP="008D391E">
            <w:pPr>
              <w:pStyle w:val="TableText"/>
              <w:jc w:val="left"/>
            </w:pPr>
            <w:r>
              <w:t>Hotels and motels</w:t>
            </w:r>
          </w:p>
        </w:tc>
        <w:tc>
          <w:tcPr>
            <w:tcW w:w="1507" w:type="dxa"/>
            <w:tcBorders>
              <w:top w:val="single" w:sz="4" w:space="0" w:color="auto"/>
              <w:left w:val="single" w:sz="4" w:space="0" w:color="auto"/>
              <w:bottom w:val="single" w:sz="4" w:space="0" w:color="auto"/>
              <w:right w:val="single" w:sz="4" w:space="0" w:color="auto"/>
            </w:tcBorders>
            <w:vAlign w:val="center"/>
            <w:hideMark/>
          </w:tcPr>
          <w:p w14:paraId="4064F414" w14:textId="77777777" w:rsidR="00677CD3" w:rsidRDefault="00677CD3" w:rsidP="008D391E">
            <w:pPr>
              <w:pStyle w:val="TableText"/>
            </w:pPr>
            <w:r w:rsidRPr="003E7C1C">
              <w:t>&lt;</w:t>
            </w:r>
            <w:r>
              <w:t>65</w:t>
            </w:r>
          </w:p>
        </w:tc>
        <w:tc>
          <w:tcPr>
            <w:tcW w:w="1508" w:type="dxa"/>
            <w:tcBorders>
              <w:top w:val="single" w:sz="4" w:space="0" w:color="auto"/>
              <w:left w:val="single" w:sz="4" w:space="0" w:color="auto"/>
              <w:bottom w:val="single" w:sz="4" w:space="0" w:color="auto"/>
              <w:right w:val="single" w:sz="4" w:space="0" w:color="auto"/>
            </w:tcBorders>
            <w:vAlign w:val="center"/>
            <w:hideMark/>
          </w:tcPr>
          <w:p w14:paraId="7BF484F8" w14:textId="77777777" w:rsidR="00677CD3" w:rsidRDefault="00677CD3" w:rsidP="008D391E">
            <w:pPr>
              <w:pStyle w:val="TableText"/>
            </w:pPr>
            <w:r>
              <w:t>60-70</w:t>
            </w:r>
          </w:p>
        </w:tc>
        <w:tc>
          <w:tcPr>
            <w:tcW w:w="1507" w:type="dxa"/>
            <w:tcBorders>
              <w:top w:val="single" w:sz="4" w:space="0" w:color="auto"/>
              <w:left w:val="single" w:sz="4" w:space="0" w:color="auto"/>
              <w:bottom w:val="single" w:sz="4" w:space="0" w:color="auto"/>
              <w:right w:val="single" w:sz="4" w:space="0" w:color="auto"/>
            </w:tcBorders>
            <w:vAlign w:val="center"/>
          </w:tcPr>
          <w:p w14:paraId="6E9E18E6" w14:textId="77777777" w:rsidR="00677CD3" w:rsidRDefault="00677CD3" w:rsidP="008D391E">
            <w:pPr>
              <w:pStyle w:val="TableText"/>
            </w:pPr>
            <w:r>
              <w:t>70-80</w:t>
            </w:r>
          </w:p>
        </w:tc>
        <w:tc>
          <w:tcPr>
            <w:tcW w:w="1508" w:type="dxa"/>
            <w:tcBorders>
              <w:top w:val="single" w:sz="4" w:space="0" w:color="auto"/>
              <w:left w:val="single" w:sz="4" w:space="0" w:color="auto"/>
              <w:bottom w:val="single" w:sz="4" w:space="0" w:color="auto"/>
              <w:right w:val="nil"/>
            </w:tcBorders>
            <w:vAlign w:val="center"/>
            <w:hideMark/>
          </w:tcPr>
          <w:p w14:paraId="422E24AB" w14:textId="77777777" w:rsidR="00677CD3" w:rsidRDefault="00677CD3" w:rsidP="008D391E">
            <w:pPr>
              <w:pStyle w:val="TableText"/>
            </w:pPr>
            <w:r w:rsidRPr="00C0246B">
              <w:t>&gt;</w:t>
            </w:r>
            <w:r>
              <w:t>80</w:t>
            </w:r>
          </w:p>
        </w:tc>
      </w:tr>
      <w:tr w:rsidR="00677CD3" w14:paraId="1EC04C77" w14:textId="77777777" w:rsidTr="00E77F17">
        <w:trPr>
          <w:jc w:val="center"/>
        </w:trPr>
        <w:tc>
          <w:tcPr>
            <w:tcW w:w="4050" w:type="dxa"/>
            <w:tcBorders>
              <w:top w:val="single" w:sz="4" w:space="0" w:color="auto"/>
              <w:left w:val="nil"/>
              <w:bottom w:val="single" w:sz="4" w:space="0" w:color="auto"/>
              <w:right w:val="single" w:sz="4" w:space="0" w:color="auto"/>
            </w:tcBorders>
          </w:tcPr>
          <w:p w14:paraId="1065EE40" w14:textId="77777777" w:rsidR="00677CD3" w:rsidRDefault="00677CD3" w:rsidP="008D391E">
            <w:pPr>
              <w:pStyle w:val="TableText"/>
              <w:jc w:val="left"/>
            </w:pPr>
            <w:r>
              <w:t>Schools, Libraries, Churches, Hospitals, Nursing Homes</w:t>
            </w:r>
          </w:p>
        </w:tc>
        <w:tc>
          <w:tcPr>
            <w:tcW w:w="1507" w:type="dxa"/>
            <w:tcBorders>
              <w:top w:val="single" w:sz="4" w:space="0" w:color="auto"/>
              <w:left w:val="single" w:sz="4" w:space="0" w:color="auto"/>
              <w:bottom w:val="single" w:sz="4" w:space="0" w:color="auto"/>
              <w:right w:val="single" w:sz="4" w:space="0" w:color="auto"/>
            </w:tcBorders>
            <w:vAlign w:val="center"/>
          </w:tcPr>
          <w:p w14:paraId="3171C66C" w14:textId="77777777" w:rsidR="00677CD3" w:rsidRDefault="00677CD3" w:rsidP="008D391E">
            <w:pPr>
              <w:pStyle w:val="TableText"/>
            </w:pPr>
            <w:r w:rsidRPr="003E7C1C">
              <w:t>&lt;</w:t>
            </w:r>
            <w:r>
              <w:t>70</w:t>
            </w:r>
          </w:p>
        </w:tc>
        <w:tc>
          <w:tcPr>
            <w:tcW w:w="1508" w:type="dxa"/>
            <w:tcBorders>
              <w:top w:val="single" w:sz="4" w:space="0" w:color="auto"/>
              <w:left w:val="single" w:sz="4" w:space="0" w:color="auto"/>
              <w:bottom w:val="single" w:sz="4" w:space="0" w:color="auto"/>
              <w:right w:val="single" w:sz="4" w:space="0" w:color="auto"/>
            </w:tcBorders>
            <w:vAlign w:val="center"/>
          </w:tcPr>
          <w:p w14:paraId="74D5E769" w14:textId="77777777" w:rsidR="00677CD3" w:rsidRDefault="00677CD3" w:rsidP="008D391E">
            <w:pPr>
              <w:pStyle w:val="TableText"/>
            </w:pPr>
            <w:r>
              <w:t>60-70</w:t>
            </w:r>
          </w:p>
        </w:tc>
        <w:tc>
          <w:tcPr>
            <w:tcW w:w="1507" w:type="dxa"/>
            <w:tcBorders>
              <w:top w:val="single" w:sz="4" w:space="0" w:color="auto"/>
              <w:left w:val="single" w:sz="4" w:space="0" w:color="auto"/>
              <w:bottom w:val="single" w:sz="4" w:space="0" w:color="auto"/>
              <w:right w:val="single" w:sz="4" w:space="0" w:color="auto"/>
            </w:tcBorders>
            <w:vAlign w:val="center"/>
          </w:tcPr>
          <w:p w14:paraId="4D1BA09A" w14:textId="77777777" w:rsidR="00677CD3" w:rsidRDefault="00677CD3" w:rsidP="008D391E">
            <w:pPr>
              <w:pStyle w:val="TableText"/>
            </w:pPr>
            <w:r>
              <w:t>70-80</w:t>
            </w:r>
          </w:p>
        </w:tc>
        <w:tc>
          <w:tcPr>
            <w:tcW w:w="1508" w:type="dxa"/>
            <w:tcBorders>
              <w:top w:val="single" w:sz="4" w:space="0" w:color="auto"/>
              <w:left w:val="single" w:sz="4" w:space="0" w:color="auto"/>
              <w:bottom w:val="single" w:sz="4" w:space="0" w:color="auto"/>
              <w:right w:val="nil"/>
            </w:tcBorders>
            <w:vAlign w:val="center"/>
          </w:tcPr>
          <w:p w14:paraId="37ED1EB8" w14:textId="77777777" w:rsidR="00677CD3" w:rsidRDefault="00677CD3" w:rsidP="008D391E">
            <w:pPr>
              <w:pStyle w:val="TableText"/>
            </w:pPr>
            <w:r w:rsidRPr="00C0246B">
              <w:t>&gt;</w:t>
            </w:r>
            <w:r>
              <w:t>80</w:t>
            </w:r>
          </w:p>
        </w:tc>
      </w:tr>
      <w:tr w:rsidR="00677CD3" w14:paraId="70F9FE83" w14:textId="77777777" w:rsidTr="00E77F17">
        <w:trPr>
          <w:jc w:val="center"/>
        </w:trPr>
        <w:tc>
          <w:tcPr>
            <w:tcW w:w="4050" w:type="dxa"/>
            <w:tcBorders>
              <w:top w:val="single" w:sz="4" w:space="0" w:color="auto"/>
              <w:left w:val="nil"/>
              <w:bottom w:val="single" w:sz="4" w:space="0" w:color="auto"/>
              <w:right w:val="single" w:sz="4" w:space="0" w:color="auto"/>
            </w:tcBorders>
          </w:tcPr>
          <w:p w14:paraId="52423FFB" w14:textId="77777777" w:rsidR="00677CD3" w:rsidRDefault="00677CD3" w:rsidP="008D391E">
            <w:pPr>
              <w:pStyle w:val="TableText"/>
              <w:jc w:val="left"/>
            </w:pPr>
            <w:r>
              <w:t>Playgrounds, Neighborhood Parks</w:t>
            </w:r>
          </w:p>
        </w:tc>
        <w:tc>
          <w:tcPr>
            <w:tcW w:w="1507" w:type="dxa"/>
            <w:tcBorders>
              <w:top w:val="single" w:sz="4" w:space="0" w:color="auto"/>
              <w:left w:val="single" w:sz="4" w:space="0" w:color="auto"/>
              <w:bottom w:val="single" w:sz="4" w:space="0" w:color="auto"/>
              <w:right w:val="single" w:sz="4" w:space="0" w:color="auto"/>
            </w:tcBorders>
            <w:vAlign w:val="center"/>
          </w:tcPr>
          <w:p w14:paraId="529D565A" w14:textId="77777777" w:rsidR="00677CD3" w:rsidRDefault="00677CD3" w:rsidP="008D391E">
            <w:pPr>
              <w:pStyle w:val="TableText"/>
            </w:pPr>
            <w:r w:rsidRPr="003E7C1C">
              <w:t>&lt;</w:t>
            </w:r>
            <w:r>
              <w:t>70</w:t>
            </w:r>
          </w:p>
        </w:tc>
        <w:tc>
          <w:tcPr>
            <w:tcW w:w="1508" w:type="dxa"/>
            <w:tcBorders>
              <w:top w:val="single" w:sz="4" w:space="0" w:color="auto"/>
              <w:left w:val="single" w:sz="4" w:space="0" w:color="auto"/>
              <w:bottom w:val="single" w:sz="4" w:space="0" w:color="auto"/>
              <w:right w:val="single" w:sz="4" w:space="0" w:color="auto"/>
            </w:tcBorders>
            <w:vAlign w:val="center"/>
          </w:tcPr>
          <w:p w14:paraId="7906902F" w14:textId="77777777" w:rsidR="00677CD3" w:rsidRDefault="00677CD3" w:rsidP="008D391E">
            <w:pPr>
              <w:pStyle w:val="TableText"/>
            </w:pPr>
            <w:r>
              <w:t>67-75</w:t>
            </w:r>
          </w:p>
        </w:tc>
        <w:tc>
          <w:tcPr>
            <w:tcW w:w="1507" w:type="dxa"/>
            <w:tcBorders>
              <w:top w:val="single" w:sz="4" w:space="0" w:color="auto"/>
              <w:left w:val="single" w:sz="4" w:space="0" w:color="auto"/>
              <w:bottom w:val="single" w:sz="4" w:space="0" w:color="auto"/>
              <w:right w:val="single" w:sz="4" w:space="0" w:color="auto"/>
            </w:tcBorders>
            <w:vAlign w:val="center"/>
          </w:tcPr>
          <w:p w14:paraId="0BD664F2" w14:textId="49EF7BC2" w:rsidR="00677CD3" w:rsidRDefault="00677CD3" w:rsidP="008D391E">
            <w:pPr>
              <w:pStyle w:val="TableText"/>
            </w:pPr>
            <w:r w:rsidRPr="00C0246B">
              <w:t>&gt;</w:t>
            </w:r>
            <w:r>
              <w:t>73</w:t>
            </w:r>
          </w:p>
        </w:tc>
        <w:tc>
          <w:tcPr>
            <w:tcW w:w="1508" w:type="dxa"/>
            <w:tcBorders>
              <w:top w:val="single" w:sz="4" w:space="0" w:color="auto"/>
              <w:left w:val="single" w:sz="4" w:space="0" w:color="auto"/>
              <w:bottom w:val="single" w:sz="4" w:space="0" w:color="auto"/>
              <w:right w:val="nil"/>
            </w:tcBorders>
            <w:vAlign w:val="center"/>
          </w:tcPr>
          <w:p w14:paraId="3AEB53C8" w14:textId="77777777" w:rsidR="00677CD3" w:rsidRDefault="00677CD3" w:rsidP="008D391E">
            <w:pPr>
              <w:pStyle w:val="TableText"/>
            </w:pPr>
            <w:r>
              <w:t>Undefined</w:t>
            </w:r>
          </w:p>
        </w:tc>
      </w:tr>
      <w:tr w:rsidR="00677CD3" w14:paraId="5EFDB784" w14:textId="77777777" w:rsidTr="00E77F17">
        <w:trPr>
          <w:jc w:val="center"/>
        </w:trPr>
        <w:tc>
          <w:tcPr>
            <w:tcW w:w="4050" w:type="dxa"/>
            <w:tcBorders>
              <w:top w:val="single" w:sz="4" w:space="0" w:color="auto"/>
              <w:left w:val="nil"/>
              <w:bottom w:val="single" w:sz="4" w:space="0" w:color="auto"/>
              <w:right w:val="single" w:sz="4" w:space="0" w:color="auto"/>
            </w:tcBorders>
          </w:tcPr>
          <w:p w14:paraId="41A5E625" w14:textId="77777777" w:rsidR="00677CD3" w:rsidRDefault="00677CD3" w:rsidP="008D391E">
            <w:pPr>
              <w:pStyle w:val="TableText"/>
              <w:jc w:val="left"/>
            </w:pPr>
            <w:r>
              <w:t>Office Buildings</w:t>
            </w:r>
          </w:p>
        </w:tc>
        <w:tc>
          <w:tcPr>
            <w:tcW w:w="1507" w:type="dxa"/>
            <w:tcBorders>
              <w:top w:val="single" w:sz="4" w:space="0" w:color="auto"/>
              <w:left w:val="single" w:sz="4" w:space="0" w:color="auto"/>
              <w:bottom w:val="single" w:sz="4" w:space="0" w:color="auto"/>
              <w:right w:val="single" w:sz="4" w:space="0" w:color="auto"/>
            </w:tcBorders>
            <w:vAlign w:val="center"/>
          </w:tcPr>
          <w:p w14:paraId="147AEB57" w14:textId="77777777" w:rsidR="00677CD3" w:rsidRDefault="00677CD3" w:rsidP="008D391E">
            <w:pPr>
              <w:pStyle w:val="TableText"/>
            </w:pPr>
            <w:r w:rsidRPr="003E7C1C">
              <w:t>&lt;</w:t>
            </w:r>
            <w:r>
              <w:t>70</w:t>
            </w:r>
          </w:p>
        </w:tc>
        <w:tc>
          <w:tcPr>
            <w:tcW w:w="1508" w:type="dxa"/>
            <w:tcBorders>
              <w:top w:val="single" w:sz="4" w:space="0" w:color="auto"/>
              <w:left w:val="single" w:sz="4" w:space="0" w:color="auto"/>
              <w:bottom w:val="single" w:sz="4" w:space="0" w:color="auto"/>
              <w:right w:val="single" w:sz="4" w:space="0" w:color="auto"/>
            </w:tcBorders>
            <w:vAlign w:val="center"/>
          </w:tcPr>
          <w:p w14:paraId="4AA33089" w14:textId="77777777" w:rsidR="00677CD3" w:rsidRDefault="00677CD3" w:rsidP="008D391E">
            <w:pPr>
              <w:pStyle w:val="TableText"/>
            </w:pPr>
            <w:r>
              <w:t xml:space="preserve">67-77 </w:t>
            </w:r>
          </w:p>
        </w:tc>
        <w:tc>
          <w:tcPr>
            <w:tcW w:w="1507" w:type="dxa"/>
            <w:tcBorders>
              <w:top w:val="single" w:sz="4" w:space="0" w:color="auto"/>
              <w:left w:val="single" w:sz="4" w:space="0" w:color="auto"/>
              <w:bottom w:val="single" w:sz="4" w:space="0" w:color="auto"/>
              <w:right w:val="single" w:sz="4" w:space="0" w:color="auto"/>
            </w:tcBorders>
            <w:vAlign w:val="center"/>
          </w:tcPr>
          <w:p w14:paraId="7189DFFE" w14:textId="77777777" w:rsidR="00677CD3" w:rsidRDefault="00677CD3" w:rsidP="008D391E">
            <w:pPr>
              <w:pStyle w:val="TableText"/>
            </w:pPr>
            <w:r w:rsidRPr="00C0246B">
              <w:t>&gt;</w:t>
            </w:r>
            <w:r>
              <w:t>75</w:t>
            </w:r>
          </w:p>
        </w:tc>
        <w:tc>
          <w:tcPr>
            <w:tcW w:w="1508" w:type="dxa"/>
            <w:tcBorders>
              <w:top w:val="single" w:sz="4" w:space="0" w:color="auto"/>
              <w:left w:val="single" w:sz="4" w:space="0" w:color="auto"/>
              <w:bottom w:val="single" w:sz="4" w:space="0" w:color="auto"/>
              <w:right w:val="nil"/>
            </w:tcBorders>
            <w:vAlign w:val="center"/>
          </w:tcPr>
          <w:p w14:paraId="51630683" w14:textId="77777777" w:rsidR="00677CD3" w:rsidRDefault="00677CD3" w:rsidP="008D391E">
            <w:pPr>
              <w:pStyle w:val="TableText"/>
            </w:pPr>
            <w:r>
              <w:t>Undefined</w:t>
            </w:r>
          </w:p>
        </w:tc>
      </w:tr>
      <w:tr w:rsidR="00677CD3" w14:paraId="1DA51107" w14:textId="77777777" w:rsidTr="00E77F17">
        <w:trPr>
          <w:jc w:val="center"/>
        </w:trPr>
        <w:tc>
          <w:tcPr>
            <w:tcW w:w="4050" w:type="dxa"/>
            <w:tcBorders>
              <w:top w:val="single" w:sz="4" w:space="0" w:color="auto"/>
              <w:left w:val="nil"/>
              <w:bottom w:val="single" w:sz="4" w:space="0" w:color="auto"/>
              <w:right w:val="single" w:sz="4" w:space="0" w:color="auto"/>
            </w:tcBorders>
          </w:tcPr>
          <w:p w14:paraId="46761A52" w14:textId="77777777" w:rsidR="00677CD3" w:rsidRDefault="00677CD3" w:rsidP="008D391E">
            <w:pPr>
              <w:pStyle w:val="TableText"/>
              <w:jc w:val="left"/>
            </w:pPr>
            <w:r>
              <w:t>Industrial &amp; Manufacturing</w:t>
            </w:r>
          </w:p>
        </w:tc>
        <w:tc>
          <w:tcPr>
            <w:tcW w:w="1507" w:type="dxa"/>
            <w:tcBorders>
              <w:top w:val="single" w:sz="4" w:space="0" w:color="auto"/>
              <w:left w:val="single" w:sz="4" w:space="0" w:color="auto"/>
              <w:bottom w:val="single" w:sz="4" w:space="0" w:color="auto"/>
              <w:right w:val="single" w:sz="4" w:space="0" w:color="auto"/>
            </w:tcBorders>
            <w:vAlign w:val="center"/>
          </w:tcPr>
          <w:p w14:paraId="3BDC8DB0" w14:textId="77777777" w:rsidR="00677CD3" w:rsidRDefault="00677CD3" w:rsidP="008D391E">
            <w:pPr>
              <w:pStyle w:val="TableText"/>
            </w:pPr>
            <w:r w:rsidRPr="003E7C1C">
              <w:t>&lt;</w:t>
            </w:r>
            <w:r>
              <w:t>75</w:t>
            </w:r>
          </w:p>
        </w:tc>
        <w:tc>
          <w:tcPr>
            <w:tcW w:w="1508" w:type="dxa"/>
            <w:tcBorders>
              <w:top w:val="single" w:sz="4" w:space="0" w:color="auto"/>
              <w:left w:val="single" w:sz="4" w:space="0" w:color="auto"/>
              <w:bottom w:val="single" w:sz="4" w:space="0" w:color="auto"/>
              <w:right w:val="single" w:sz="4" w:space="0" w:color="auto"/>
            </w:tcBorders>
            <w:vAlign w:val="center"/>
          </w:tcPr>
          <w:p w14:paraId="173460DF" w14:textId="77777777" w:rsidR="00677CD3" w:rsidRDefault="00677CD3" w:rsidP="008D391E">
            <w:pPr>
              <w:pStyle w:val="TableText"/>
            </w:pPr>
            <w:r>
              <w:t>70-80</w:t>
            </w:r>
          </w:p>
        </w:tc>
        <w:tc>
          <w:tcPr>
            <w:tcW w:w="1507" w:type="dxa"/>
            <w:tcBorders>
              <w:top w:val="single" w:sz="4" w:space="0" w:color="auto"/>
              <w:left w:val="single" w:sz="4" w:space="0" w:color="auto"/>
              <w:bottom w:val="single" w:sz="4" w:space="0" w:color="auto"/>
              <w:right w:val="single" w:sz="4" w:space="0" w:color="auto"/>
            </w:tcBorders>
            <w:vAlign w:val="center"/>
          </w:tcPr>
          <w:p w14:paraId="4F750CE0" w14:textId="77777777" w:rsidR="00677CD3" w:rsidRDefault="00677CD3" w:rsidP="008D391E">
            <w:pPr>
              <w:pStyle w:val="TableText"/>
            </w:pPr>
            <w:r w:rsidRPr="00C0246B">
              <w:t>&gt;</w:t>
            </w:r>
            <w:r>
              <w:t>75</w:t>
            </w:r>
          </w:p>
        </w:tc>
        <w:tc>
          <w:tcPr>
            <w:tcW w:w="1508" w:type="dxa"/>
            <w:tcBorders>
              <w:top w:val="single" w:sz="4" w:space="0" w:color="auto"/>
              <w:left w:val="single" w:sz="4" w:space="0" w:color="auto"/>
              <w:bottom w:val="single" w:sz="4" w:space="0" w:color="auto"/>
              <w:right w:val="nil"/>
            </w:tcBorders>
            <w:vAlign w:val="center"/>
          </w:tcPr>
          <w:p w14:paraId="587BBA40" w14:textId="77777777" w:rsidR="00677CD3" w:rsidRDefault="00677CD3" w:rsidP="008D391E">
            <w:pPr>
              <w:pStyle w:val="TableText"/>
            </w:pPr>
            <w:r>
              <w:t>Undefined</w:t>
            </w:r>
          </w:p>
        </w:tc>
      </w:tr>
    </w:tbl>
    <w:p w14:paraId="587C7256" w14:textId="77777777" w:rsidR="0073681E" w:rsidRDefault="0073681E" w:rsidP="00C138B0">
      <w:pPr>
        <w:pStyle w:val="TableSource"/>
        <w:spacing w:after="40"/>
      </w:pPr>
      <w:r>
        <w:t xml:space="preserve">Notes: CNEL = Community Noise Equivalent Level; dB = decibels. </w:t>
      </w:r>
    </w:p>
    <w:p w14:paraId="393B4042" w14:textId="30A75381" w:rsidR="0073681E" w:rsidRDefault="0073681E" w:rsidP="0073681E">
      <w:pPr>
        <w:pStyle w:val="TableSource"/>
        <w:spacing w:after="40"/>
        <w:ind w:left="180" w:hanging="180"/>
        <w:rPr>
          <w:szCs w:val="16"/>
        </w:rPr>
      </w:pPr>
      <w:r w:rsidRPr="0073681E">
        <w:rPr>
          <w:vertAlign w:val="superscript"/>
        </w:rPr>
        <w:t>1.</w:t>
      </w:r>
      <w:r>
        <w:tab/>
        <w:t>For conventional construction, without any special noise insulation design features.</w:t>
      </w:r>
    </w:p>
    <w:p w14:paraId="311CF6D9" w14:textId="1E3B363C" w:rsidR="0073681E" w:rsidRDefault="0073681E" w:rsidP="0073681E">
      <w:pPr>
        <w:pStyle w:val="TableSource"/>
        <w:spacing w:after="40"/>
        <w:ind w:left="180" w:hanging="180"/>
      </w:pPr>
      <w:r w:rsidRPr="0073681E">
        <w:rPr>
          <w:vertAlign w:val="superscript"/>
        </w:rPr>
        <w:t>2.</w:t>
      </w:r>
      <w:r>
        <w:tab/>
        <w:t xml:space="preserve">For construction with noise reduction features and/or conventional construction with permanently closed windows. </w:t>
      </w:r>
    </w:p>
    <w:p w14:paraId="3F36B8A0" w14:textId="609C6261" w:rsidR="0073681E" w:rsidRDefault="0073681E" w:rsidP="0073681E">
      <w:pPr>
        <w:pStyle w:val="TableSource"/>
        <w:spacing w:after="40"/>
        <w:ind w:left="180" w:hanging="180"/>
      </w:pPr>
      <w:r w:rsidRPr="0073681E">
        <w:rPr>
          <w:vertAlign w:val="superscript"/>
        </w:rPr>
        <w:t>3.</w:t>
      </w:r>
      <w:r>
        <w:tab/>
        <w:t xml:space="preserve">Unacceptable unless noise insulation features have been included in the design and noise reduction requirements in place. </w:t>
      </w:r>
    </w:p>
    <w:p w14:paraId="3155AB24" w14:textId="6A77011F" w:rsidR="0073681E" w:rsidRDefault="0073681E" w:rsidP="0073681E">
      <w:pPr>
        <w:pStyle w:val="TableSource"/>
        <w:spacing w:after="60"/>
        <w:ind w:left="180" w:hanging="180"/>
      </w:pPr>
      <w:r w:rsidRPr="0073681E">
        <w:rPr>
          <w:vertAlign w:val="superscript"/>
        </w:rPr>
        <w:t>4.</w:t>
      </w:r>
      <w:r>
        <w:tab/>
        <w:t xml:space="preserve">Incompatible with construction and development. </w:t>
      </w:r>
    </w:p>
    <w:p w14:paraId="3E9355D3" w14:textId="77777777" w:rsidR="0073681E" w:rsidRDefault="0073681E" w:rsidP="008D391E">
      <w:pPr>
        <w:pStyle w:val="TableSource"/>
      </w:pPr>
      <w:r>
        <w:t xml:space="preserve">Source: </w:t>
      </w:r>
      <w:bookmarkStart w:id="92" w:name="_Hlk8113886"/>
      <w:r>
        <w:t>OPR 2017</w:t>
      </w:r>
      <w:bookmarkEnd w:id="92"/>
    </w:p>
    <w:p w14:paraId="670B076A" w14:textId="2D86D2FD" w:rsidR="00052E81" w:rsidRDefault="00052E81" w:rsidP="00E70C87">
      <w:pPr>
        <w:pStyle w:val="Heading5"/>
      </w:pPr>
      <w:r>
        <w:t>California Building</w:t>
      </w:r>
      <w:r w:rsidR="007E5C15">
        <w:t xml:space="preserve"> Standards Code</w:t>
      </w:r>
    </w:p>
    <w:p w14:paraId="00708E8A" w14:textId="0AFE10E3" w:rsidR="00052E81" w:rsidRDefault="007E5C15" w:rsidP="00052E81">
      <w:pPr>
        <w:pStyle w:val="BodyText"/>
      </w:pPr>
      <w:r>
        <w:t xml:space="preserve">The </w:t>
      </w:r>
      <w:r w:rsidR="00052E81" w:rsidRPr="00052E81">
        <w:t>24, Part 2, Section 1207 of the California Building</w:t>
      </w:r>
      <w:r>
        <w:t xml:space="preserve"> Standards</w:t>
      </w:r>
      <w:r w:rsidR="00052E81" w:rsidRPr="00052E81">
        <w:t xml:space="preserve"> Code establishes a uniform minimum noise insulation performance standard to protect persons within hotels, motels, dormitories, apartment houses, and dwellings other than detached single-family dwellings from the effects of excessive noise, including hearing loss or impairment and interference with speech and sleep. Title 24 states that interior noise levels attributable to exterior sources are not to exceed 45 dB in any habitable room (California Building Code 201</w:t>
      </w:r>
      <w:r w:rsidR="0017472D">
        <w:t>6</w:t>
      </w:r>
      <w:r w:rsidR="00052E81" w:rsidRPr="00052E81">
        <w:t xml:space="preserve">). The noise metric must be either the </w:t>
      </w:r>
      <w:proofErr w:type="spellStart"/>
      <w:r w:rsidR="00052E81" w:rsidRPr="00052E81">
        <w:t>L</w:t>
      </w:r>
      <w:r w:rsidR="00052E81" w:rsidRPr="0079200B">
        <w:rPr>
          <w:vertAlign w:val="subscript"/>
        </w:rPr>
        <w:t>dn</w:t>
      </w:r>
      <w:proofErr w:type="spellEnd"/>
      <w:r w:rsidR="00052E81" w:rsidRPr="00052E81">
        <w:t xml:space="preserve"> or CNEL, consistent with standards in the noise element of the local general plan.</w:t>
      </w:r>
    </w:p>
    <w:p w14:paraId="4FDA79EE" w14:textId="076E48CC" w:rsidR="00AA5274" w:rsidRDefault="00AA5274" w:rsidP="00052E81">
      <w:pPr>
        <w:pStyle w:val="BodyText"/>
      </w:pPr>
      <w:r>
        <w:t xml:space="preserve">Under California Public Resources Code Section </w:t>
      </w:r>
      <w:r w:rsidRPr="007D731C">
        <w:t>25402.1</w:t>
      </w:r>
      <w:r>
        <w:t>(g), all cities and counties in the state are required to enforce the adopted California Building Standards Code, including these noise insulation performance standards.</w:t>
      </w:r>
      <w:r w:rsidR="00DF0AA2">
        <w:t xml:space="preserve"> </w:t>
      </w:r>
    </w:p>
    <w:p w14:paraId="1AA29180" w14:textId="631FAD14" w:rsidR="007F4581" w:rsidRDefault="007F4581" w:rsidP="00BB1612">
      <w:pPr>
        <w:pStyle w:val="Heading4"/>
      </w:pPr>
      <w:r w:rsidRPr="00C145FF">
        <w:t>Local</w:t>
      </w:r>
      <w:bookmarkEnd w:id="88"/>
    </w:p>
    <w:p w14:paraId="513FB9E5" w14:textId="68BACEAE" w:rsidR="00AB5F2C" w:rsidRPr="00AB5F2C" w:rsidRDefault="00AB5F2C" w:rsidP="00AB5F2C">
      <w:pPr>
        <w:pStyle w:val="BodyText"/>
      </w:pPr>
      <w:r>
        <w:t xml:space="preserve">When state agencies, including CAL FIRE, are conducting </w:t>
      </w:r>
      <w:r w:rsidR="00B93198">
        <w:t xml:space="preserve">governmental </w:t>
      </w:r>
      <w:r>
        <w:t xml:space="preserve">activities under the authority of state law or the State Constitution, </w:t>
      </w:r>
      <w:r w:rsidR="00AB6BED">
        <w:t xml:space="preserve">in this case, treatments implemented under the proposed CalVTP, </w:t>
      </w:r>
      <w:r>
        <w:t xml:space="preserve">they are </w:t>
      </w:r>
      <w:r w:rsidR="00AB6BED">
        <w:t xml:space="preserve">exempt from </w:t>
      </w:r>
      <w:r>
        <w:t xml:space="preserve">local government plans, policies, and ordinances (unless </w:t>
      </w:r>
      <w:r w:rsidR="00AB6BED">
        <w:t xml:space="preserve">a constitutional provision or statute </w:t>
      </w:r>
      <w:r w:rsidR="00372F0E">
        <w:t xml:space="preserve">directs </w:t>
      </w:r>
      <w:r w:rsidR="00AB6BED">
        <w:t>otherwise)</w:t>
      </w:r>
      <w:r>
        <w:t>.</w:t>
      </w:r>
      <w:r w:rsidR="00DF0AA2">
        <w:t xml:space="preserve"> </w:t>
      </w:r>
      <w:r>
        <w:t>Nonetheless, CAL FIRE voluntarily seeks to operate consistently with local governance to the extent feasible.</w:t>
      </w:r>
      <w:r w:rsidR="00DF0AA2">
        <w:t xml:space="preserve"> </w:t>
      </w:r>
      <w:r>
        <w:t>Given its statewide extent and the possible number of local and regional responsible agencies, this PEIR does not identify potentially applicable local government plan</w:t>
      </w:r>
      <w:r w:rsidR="00372F0E">
        <w:t>s</w:t>
      </w:r>
      <w:r>
        <w:t>, polic</w:t>
      </w:r>
      <w:r w:rsidR="00372F0E">
        <w:t>ies</w:t>
      </w:r>
      <w:r>
        <w:t>, and ordinance</w:t>
      </w:r>
      <w:r w:rsidR="00372F0E">
        <w:t>s</w:t>
      </w:r>
      <w:r>
        <w:t xml:space="preserve">. </w:t>
      </w:r>
    </w:p>
    <w:p w14:paraId="6AD3AA46" w14:textId="19083A08" w:rsidR="0079200B" w:rsidRDefault="006240BD" w:rsidP="006240BD">
      <w:pPr>
        <w:pStyle w:val="BodyText"/>
      </w:pPr>
      <w:r w:rsidRPr="006240BD">
        <w:rPr>
          <w:rFonts w:cs="Segoe UI Semilight"/>
        </w:rPr>
        <w:t xml:space="preserve">Cities and counties establish general plan noise elements and/or noise ordinance </w:t>
      </w:r>
      <w:r w:rsidR="00AB6BED">
        <w:rPr>
          <w:rFonts w:cs="Segoe UI Semilight"/>
        </w:rPr>
        <w:t xml:space="preserve">standards </w:t>
      </w:r>
      <w:r w:rsidRPr="006240BD">
        <w:rPr>
          <w:rFonts w:cs="Segoe UI Semilight"/>
        </w:rPr>
        <w:t>that provide land use compatibility guidelines and locally acceptable</w:t>
      </w:r>
      <w:r>
        <w:rPr>
          <w:rFonts w:cs="Segoe UI Semilight"/>
        </w:rPr>
        <w:t xml:space="preserve"> </w:t>
      </w:r>
      <w:r w:rsidRPr="006240BD">
        <w:rPr>
          <w:rFonts w:cs="Segoe UI Semilight"/>
        </w:rPr>
        <w:t>standards to reduce noise conflicts between land use</w:t>
      </w:r>
      <w:r w:rsidR="007D731C">
        <w:rPr>
          <w:rFonts w:cs="Segoe UI Semilight"/>
        </w:rPr>
        <w:t>s</w:t>
      </w:r>
      <w:r w:rsidRPr="006240BD">
        <w:rPr>
          <w:rFonts w:cs="Segoe UI Semilight"/>
        </w:rPr>
        <w:t xml:space="preserve">. </w:t>
      </w:r>
      <w:r>
        <w:rPr>
          <w:rFonts w:cs="Segoe UI Semilight"/>
        </w:rPr>
        <w:t>T</w:t>
      </w:r>
      <w:r w:rsidR="00052E81">
        <w:rPr>
          <w:rFonts w:cs="Segoe UI Semilight"/>
        </w:rPr>
        <w:t xml:space="preserve">he </w:t>
      </w:r>
      <w:r w:rsidR="00052E81">
        <w:t xml:space="preserve">State of California General Plan Guidelines 2017 described in the previous subsection </w:t>
      </w:r>
      <w:r w:rsidR="0017472D">
        <w:t>are</w:t>
      </w:r>
      <w:r w:rsidR="00052E81">
        <w:t xml:space="preserve"> used as a guide for local government when developing </w:t>
      </w:r>
      <w:r w:rsidR="0017472D">
        <w:t xml:space="preserve">these </w:t>
      </w:r>
      <w:r w:rsidR="00052E81">
        <w:t>thresholds.</w:t>
      </w:r>
      <w:r w:rsidR="00DF0AA2">
        <w:t xml:space="preserve"> </w:t>
      </w:r>
    </w:p>
    <w:p w14:paraId="5185736F" w14:textId="2191B310" w:rsidR="00052E81" w:rsidRPr="0079200B" w:rsidRDefault="00AB5F2C" w:rsidP="006240BD">
      <w:pPr>
        <w:pStyle w:val="BodyText"/>
      </w:pPr>
      <w:r>
        <w:t>This PEIR assumes that any vegetation treatments proposed by local or regional agencies under the CalVTP would be consistent with local plans, policies, and ordinances, as required by SPR AD-</w:t>
      </w:r>
      <w:r w:rsidR="00E622F4">
        <w:t>3</w:t>
      </w:r>
      <w:r>
        <w:t>.</w:t>
      </w:r>
    </w:p>
    <w:p w14:paraId="5E8748E5" w14:textId="708A4662" w:rsidR="006E5312" w:rsidRPr="00A119D7" w:rsidRDefault="006E5312" w:rsidP="00496ED1">
      <w:pPr>
        <w:pStyle w:val="Heading3"/>
      </w:pPr>
      <w:bookmarkStart w:id="93" w:name="_Toc384132818"/>
      <w:bookmarkEnd w:id="89"/>
      <w:r w:rsidRPr="00A119D7">
        <w:lastRenderedPageBreak/>
        <w:t>Impact</w:t>
      </w:r>
      <w:r w:rsidR="00DF2BED">
        <w:t xml:space="preserve"> </w:t>
      </w:r>
      <w:bookmarkEnd w:id="93"/>
      <w:r w:rsidR="00DF2BED">
        <w:t>Analysis</w:t>
      </w:r>
      <w:r w:rsidR="00C71CB9">
        <w:t xml:space="preserve"> and Mitigation Measures</w:t>
      </w:r>
    </w:p>
    <w:p w14:paraId="4B8CDE6A" w14:textId="664898BF" w:rsidR="00197AA2" w:rsidRDefault="00230164" w:rsidP="00230164">
      <w:pPr>
        <w:pStyle w:val="Heading4"/>
      </w:pPr>
      <w:r w:rsidRPr="00230164">
        <w:t xml:space="preserve">Analysis </w:t>
      </w:r>
      <w:r w:rsidR="00197AA2" w:rsidRPr="00230164">
        <w:t>Methodology</w:t>
      </w:r>
    </w:p>
    <w:p w14:paraId="2595E6A2" w14:textId="2AAABC75" w:rsidR="00E830A1" w:rsidRPr="0073681E" w:rsidRDefault="00E830A1" w:rsidP="0073681E">
      <w:pPr>
        <w:pStyle w:val="BodyText"/>
      </w:pPr>
      <w:r w:rsidRPr="0073681E">
        <w:t xml:space="preserve">The analysis of noise impacts focuses on the potential for nearby noise-sensitive receptors to experience a substantial temporary or permanent increase in ambient noise levels as a result of </w:t>
      </w:r>
      <w:r w:rsidR="00046A51" w:rsidRPr="0073681E">
        <w:t xml:space="preserve">treatment </w:t>
      </w:r>
      <w:r w:rsidRPr="0073681E">
        <w:t>implementation. Significance determinations account for the influence of relevant SPRs, which are incorporated into treatment design</w:t>
      </w:r>
      <w:r w:rsidR="00196FD1" w:rsidRPr="0073681E">
        <w:t xml:space="preserve"> and listed below</w:t>
      </w:r>
      <w:r w:rsidRPr="0073681E">
        <w:t xml:space="preserve">. </w:t>
      </w:r>
    </w:p>
    <w:p w14:paraId="2EFABD08" w14:textId="7082CB64" w:rsidR="00196FD1" w:rsidRDefault="001B7454" w:rsidP="00157359">
      <w:pPr>
        <w:pStyle w:val="Bullet1"/>
      </w:pPr>
      <w:bookmarkStart w:id="94" w:name="_Hlk11157336"/>
      <w:r w:rsidRPr="007A6CF2">
        <w:rPr>
          <w:b/>
        </w:rPr>
        <w:t>SPR AD-3 Consistency with Local Plans, Policies, and Ordinances</w:t>
      </w:r>
      <w:r w:rsidRPr="007A6CF2">
        <w:t>: The project proponent will design and implement the treatment in a manner that is consistent with applicable local plans (e.g., general plans</w:t>
      </w:r>
      <w:r w:rsidRPr="00CC22D8">
        <w:rPr>
          <w:u w:val="single"/>
        </w:rPr>
        <w:t>, Community Wildfire Protection Plans, CAL FIRE Unit Fire Plans</w:t>
      </w:r>
      <w:r w:rsidRPr="007A6CF2">
        <w:t xml:space="preserve">), policies, and ordinances to the extent the project is subject to them. </w:t>
      </w:r>
      <w:bookmarkStart w:id="95" w:name="_Hlk10464028"/>
      <w:r w:rsidRPr="007A6CF2">
        <w:t>This SPR applies to all treatment activities and treatment types</w:t>
      </w:r>
      <w:r w:rsidR="00395F11">
        <w:rPr>
          <w:u w:val="single"/>
        </w:rPr>
        <w:t>, including treatment maintenance</w:t>
      </w:r>
      <w:r w:rsidRPr="007A6CF2">
        <w:t>.</w:t>
      </w:r>
      <w:bookmarkEnd w:id="94"/>
      <w:bookmarkEnd w:id="95"/>
    </w:p>
    <w:p w14:paraId="2238ADB5" w14:textId="314B3BCC" w:rsidR="00196FD1" w:rsidRPr="00B71E28" w:rsidRDefault="00196FD1" w:rsidP="00196FD1">
      <w:pPr>
        <w:pStyle w:val="Bullet1"/>
      </w:pPr>
      <w:bookmarkStart w:id="96" w:name="_Hlk10716021"/>
      <w:r w:rsidRPr="008D4B34">
        <w:rPr>
          <w:b/>
        </w:rPr>
        <w:t>SPR NOI-1</w:t>
      </w:r>
      <w:r>
        <w:rPr>
          <w:b/>
        </w:rPr>
        <w:t xml:space="preserve"> </w:t>
      </w:r>
      <w:bookmarkStart w:id="97" w:name="_Hlk3462102"/>
      <w:r>
        <w:rPr>
          <w:b/>
        </w:rPr>
        <w:t>Limit Heavy Equipment Use to Daytime Hours:</w:t>
      </w:r>
      <w:r>
        <w:t xml:space="preserve"> </w:t>
      </w:r>
      <w:bookmarkEnd w:id="97"/>
      <w:r w:rsidRPr="00035F6D">
        <w:t>The project proponent will require that operation of heavy equipment associated with treatment activities (</w:t>
      </w:r>
      <w:r>
        <w:t xml:space="preserve">heavy off-road </w:t>
      </w:r>
      <w:r w:rsidRPr="00035F6D">
        <w:t>equipment</w:t>
      </w:r>
      <w:r>
        <w:t>, tools,</w:t>
      </w:r>
      <w:r w:rsidRPr="00035F6D">
        <w:t xml:space="preserve"> and delivery of equipment and materials) will </w:t>
      </w:r>
      <w:r>
        <w:t>occur during daytime hours</w:t>
      </w:r>
      <w:r w:rsidRPr="00035F6D">
        <w:t xml:space="preserve"> if such noise would be audible to receptors (e.g., residential land uses, schools, hospitals, places of worship). Cities and counties in </w:t>
      </w:r>
      <w:r>
        <w:t>the treatable landscape</w:t>
      </w:r>
      <w:r w:rsidRPr="00035F6D">
        <w:t xml:space="preserve"> typically restrict construction-noise</w:t>
      </w:r>
      <w:r>
        <w:t xml:space="preserve"> (which would apply to vegetation treatment noise)</w:t>
      </w:r>
      <w:r w:rsidRPr="00035F6D">
        <w:t xml:space="preserve"> to particular daytime hours. If the </w:t>
      </w:r>
      <w:r>
        <w:t xml:space="preserve">project proponent is subject to </w:t>
      </w:r>
      <w:r w:rsidRPr="00035F6D">
        <w:t>local</w:t>
      </w:r>
      <w:r>
        <w:t xml:space="preserve"> noise ordinance, it will adhere to those to the extent the project is subject to them. If the </w:t>
      </w:r>
      <w:r w:rsidRPr="00035F6D">
        <w:t>applicable jurisdiction does not have a noise ordinance or policy restricting the time-of-day when noise-generating activity can occur</w:t>
      </w:r>
      <w:r>
        <w:t xml:space="preserve"> </w:t>
      </w:r>
      <w:r w:rsidRPr="00035F6D">
        <w:t xml:space="preserve">noise-generating vegetation treatment activity will be limited to the hours of </w:t>
      </w:r>
      <w:r>
        <w:t>7</w:t>
      </w:r>
      <w:r w:rsidRPr="00035F6D">
        <w:t xml:space="preserve">:00 a.m. to </w:t>
      </w:r>
      <w:r>
        <w:t>6</w:t>
      </w:r>
      <w:r w:rsidRPr="00035F6D">
        <w:t>:00 p.m</w:t>
      </w:r>
      <w:r w:rsidRPr="007C5406">
        <w:rPr>
          <w:rFonts w:eastAsia="Times New Roman"/>
        </w:rPr>
        <w:t>., Monday through Saturday, and between 9:00 a.m. and 6:00 p.m. on Sunday and federal holidays</w:t>
      </w:r>
      <w:r w:rsidRPr="006E012E">
        <w:t>.</w:t>
      </w:r>
      <w:r>
        <w:t xml:space="preserve"> If the project proponent is not subject to local ordinances (e.g., CAL FIRE), it will adhere to the restrictions stated above or may elect to adhere to the restrictions identified by the local ordinance encompassing the treatment area.</w:t>
      </w:r>
      <w:r w:rsidR="00C43617">
        <w:t xml:space="preserve"> This SPR applies to all treatment activit</w:t>
      </w:r>
      <w:r w:rsidR="00A51816">
        <w:t>ies and treatment</w:t>
      </w:r>
      <w:r w:rsidR="00C43617">
        <w:t xml:space="preserve"> types</w:t>
      </w:r>
      <w:r w:rsidR="00395F11">
        <w:rPr>
          <w:u w:val="single"/>
        </w:rPr>
        <w:t>, including treatment maintenance</w:t>
      </w:r>
      <w:r w:rsidR="00C43617">
        <w:t>.</w:t>
      </w:r>
    </w:p>
    <w:p w14:paraId="736CC973" w14:textId="4CD54EA8" w:rsidR="00196FD1" w:rsidRPr="006E012E" w:rsidRDefault="00196FD1" w:rsidP="00196FD1">
      <w:pPr>
        <w:pStyle w:val="Bullet1"/>
      </w:pPr>
      <w:r w:rsidRPr="006E012E">
        <w:rPr>
          <w:b/>
        </w:rPr>
        <w:t>SPR NOI-2 Equipment Maintenance:</w:t>
      </w:r>
      <w:r w:rsidRPr="006E012E">
        <w:t xml:space="preserve"> </w:t>
      </w:r>
      <w:r>
        <w:t>The project proponent will require that a</w:t>
      </w:r>
      <w:r w:rsidRPr="006E012E">
        <w:t>ll powered treatment equipment and power tools will be used and maintained according to manufacturer specifications. All diesel- and gasoline-powered treatment equipment will be properly maintained and equipped with noise-reduction intake and exhaust mufflers and engine shrouds, in accordance with manufacturers</w:t>
      </w:r>
      <w:r w:rsidR="00DF0AA2">
        <w:t>’</w:t>
      </w:r>
      <w:r w:rsidRPr="006E012E">
        <w:t xml:space="preserve"> recommendations.</w:t>
      </w:r>
      <w:r w:rsidR="00C43617">
        <w:t xml:space="preserve"> This SPR applies to </w:t>
      </w:r>
      <w:r w:rsidR="00DF63E0">
        <w:t>all</w:t>
      </w:r>
      <w:r w:rsidR="00C43617">
        <w:t xml:space="preserve"> treatment activit</w:t>
      </w:r>
      <w:r w:rsidR="00A51816">
        <w:t>ies and all treatment</w:t>
      </w:r>
      <w:r w:rsidR="00C43617">
        <w:t xml:space="preserve"> types</w:t>
      </w:r>
      <w:r w:rsidR="00395F11">
        <w:rPr>
          <w:u w:val="single"/>
        </w:rPr>
        <w:t>, including treatment maintenance</w:t>
      </w:r>
      <w:r w:rsidR="00C43617">
        <w:t>.</w:t>
      </w:r>
    </w:p>
    <w:p w14:paraId="2F7932AB" w14:textId="32C2E59D" w:rsidR="00196FD1" w:rsidRPr="006E012E" w:rsidRDefault="00196FD1" w:rsidP="00196FD1">
      <w:pPr>
        <w:pStyle w:val="Bullet1"/>
      </w:pPr>
      <w:r w:rsidRPr="006E012E">
        <w:rPr>
          <w:b/>
        </w:rPr>
        <w:t>SPR NOI-</w:t>
      </w:r>
      <w:r>
        <w:rPr>
          <w:b/>
        </w:rPr>
        <w:t>3</w:t>
      </w:r>
      <w:r w:rsidRPr="006E012E">
        <w:rPr>
          <w:b/>
        </w:rPr>
        <w:t xml:space="preserve"> Engine Shroud Closure: </w:t>
      </w:r>
      <w:r>
        <w:t xml:space="preserve">The project proponent will require that </w:t>
      </w:r>
      <w:r w:rsidRPr="006E012E">
        <w:t>engine shrouds be closed during equipment operation.</w:t>
      </w:r>
      <w:r w:rsidR="00C43617">
        <w:t xml:space="preserve"> This SPR applies</w:t>
      </w:r>
      <w:r w:rsidR="009A4813">
        <w:t xml:space="preserve"> only</w:t>
      </w:r>
      <w:r w:rsidR="00C43617">
        <w:t xml:space="preserve"> to mechanical treatment activities</w:t>
      </w:r>
      <w:r w:rsidR="00A51816">
        <w:t xml:space="preserve"> and all treatment types</w:t>
      </w:r>
      <w:r w:rsidR="00395F11">
        <w:rPr>
          <w:u w:val="single"/>
        </w:rPr>
        <w:t>, including treatment maintenance</w:t>
      </w:r>
      <w:r w:rsidR="00C43617">
        <w:t>.</w:t>
      </w:r>
    </w:p>
    <w:p w14:paraId="5799A78E" w14:textId="63764FB7" w:rsidR="00196FD1" w:rsidRPr="006E012E" w:rsidRDefault="00196FD1" w:rsidP="00196FD1">
      <w:pPr>
        <w:pStyle w:val="Bullet1"/>
      </w:pPr>
      <w:r w:rsidRPr="006E012E">
        <w:rPr>
          <w:b/>
        </w:rPr>
        <w:t>SPR NOI-</w:t>
      </w:r>
      <w:r>
        <w:rPr>
          <w:b/>
        </w:rPr>
        <w:t>4</w:t>
      </w:r>
      <w:r w:rsidRPr="006E012E">
        <w:rPr>
          <w:b/>
        </w:rPr>
        <w:t xml:space="preserve"> Locate Staging Areas Away from Noise-Sensitive Land Uses: </w:t>
      </w:r>
      <w:r>
        <w:t xml:space="preserve">The project proponent will locate </w:t>
      </w:r>
      <w:r w:rsidR="00C43617" w:rsidRPr="006E012E">
        <w:t xml:space="preserve">treatment </w:t>
      </w:r>
      <w:r w:rsidR="00C43617">
        <w:t>activities</w:t>
      </w:r>
      <w:r>
        <w:t xml:space="preserve">, </w:t>
      </w:r>
      <w:r w:rsidRPr="006E012E">
        <w:t>equipment</w:t>
      </w:r>
      <w:r>
        <w:t>,</w:t>
      </w:r>
      <w:r w:rsidRPr="006E012E">
        <w:t xml:space="preserve"> and equipment staging areas </w:t>
      </w:r>
      <w:r>
        <w:t>away</w:t>
      </w:r>
      <w:r w:rsidRPr="006E012E">
        <w:t xml:space="preserve"> from nearby noise-sensitive land uses (e.g., residential land uses, schools, hospitals, places of worship)</w:t>
      </w:r>
      <w:r>
        <w:t>, to the extent feasible, to minimize noise exposure.</w:t>
      </w:r>
      <w:r w:rsidR="00C43617">
        <w:t xml:space="preserve"> </w:t>
      </w:r>
      <w:r w:rsidR="00A51816">
        <w:t>This SPR applies to all treatment activities and treatment types</w:t>
      </w:r>
      <w:r w:rsidR="00395F11">
        <w:rPr>
          <w:u w:val="single"/>
        </w:rPr>
        <w:t>, including treatment maintenance</w:t>
      </w:r>
      <w:r w:rsidR="00C43617">
        <w:t>.</w:t>
      </w:r>
    </w:p>
    <w:p w14:paraId="3CBDDFD5" w14:textId="4B8FCB3F" w:rsidR="00196FD1" w:rsidRPr="006E012E" w:rsidRDefault="00196FD1" w:rsidP="00196FD1">
      <w:pPr>
        <w:pStyle w:val="Bullet1"/>
      </w:pPr>
      <w:r w:rsidRPr="006E012E">
        <w:rPr>
          <w:b/>
        </w:rPr>
        <w:t>SPR NOI-</w:t>
      </w:r>
      <w:r>
        <w:rPr>
          <w:b/>
        </w:rPr>
        <w:t>5</w:t>
      </w:r>
      <w:r w:rsidRPr="006E012E">
        <w:rPr>
          <w:b/>
        </w:rPr>
        <w:t xml:space="preserve"> </w:t>
      </w:r>
      <w:r>
        <w:rPr>
          <w:b/>
        </w:rPr>
        <w:t>Restrict Equipment Idle Time</w:t>
      </w:r>
      <w:r w:rsidRPr="006E012E">
        <w:rPr>
          <w:b/>
        </w:rPr>
        <w:t xml:space="preserve">: </w:t>
      </w:r>
      <w:r>
        <w:t>The project proponent will require that a</w:t>
      </w:r>
      <w:r w:rsidRPr="006E012E">
        <w:t>ll motorized equipment be shut down when not in use. Idling of equipment and haul trucks will be limited to 5 minutes.</w:t>
      </w:r>
      <w:r w:rsidR="00C43617">
        <w:t xml:space="preserve"> This SPR applies to </w:t>
      </w:r>
      <w:r w:rsidR="003E251D">
        <w:t>all</w:t>
      </w:r>
      <w:r w:rsidR="00C43617">
        <w:t xml:space="preserve"> treatment activities</w:t>
      </w:r>
      <w:r w:rsidR="00A51816">
        <w:t xml:space="preserve"> and all treatment types</w:t>
      </w:r>
      <w:r w:rsidR="00395F11">
        <w:rPr>
          <w:u w:val="single"/>
        </w:rPr>
        <w:t>, including treatment maintenance</w:t>
      </w:r>
      <w:r w:rsidR="00C43617">
        <w:t>.</w:t>
      </w:r>
    </w:p>
    <w:p w14:paraId="6B3CCAFD" w14:textId="1C65165E" w:rsidR="00196FD1" w:rsidRPr="00E830A1" w:rsidRDefault="00196FD1" w:rsidP="00456323">
      <w:pPr>
        <w:pStyle w:val="Bullet1"/>
        <w:keepLines/>
      </w:pPr>
      <w:r w:rsidRPr="006E012E">
        <w:rPr>
          <w:b/>
        </w:rPr>
        <w:lastRenderedPageBreak/>
        <w:t>SPR NOI-</w:t>
      </w:r>
      <w:r>
        <w:rPr>
          <w:b/>
        </w:rPr>
        <w:t>6</w:t>
      </w:r>
      <w:r w:rsidRPr="006E012E">
        <w:rPr>
          <w:b/>
        </w:rPr>
        <w:t xml:space="preserve"> Notify Nearby Off-Site Noise-Sensitive Receptors: </w:t>
      </w:r>
      <w:r w:rsidR="00C43617" w:rsidRPr="00C43617">
        <w:t>For</w:t>
      </w:r>
      <w:r w:rsidR="0021696E">
        <w:t xml:space="preserve"> treatment activities utilizing heavy equipment, t</w:t>
      </w:r>
      <w:r w:rsidRPr="00FF7B23">
        <w:t>he projec</w:t>
      </w:r>
      <w:r>
        <w:t>t proponent will notify</w:t>
      </w:r>
      <w:r w:rsidRPr="006E012E">
        <w:t xml:space="preserve"> noise-sensitive receptors (e.g., </w:t>
      </w:r>
      <w:r w:rsidR="00C43617" w:rsidRPr="006E012E">
        <w:t>residential land uses</w:t>
      </w:r>
      <w:r w:rsidRPr="006E012E">
        <w:t xml:space="preserve">, schools, hospitals, places of worship) located within 1,500 feet of </w:t>
      </w:r>
      <w:r w:rsidR="0021696E">
        <w:t xml:space="preserve">the </w:t>
      </w:r>
      <w:r>
        <w:t xml:space="preserve">treatment </w:t>
      </w:r>
      <w:r w:rsidR="0021696E">
        <w:t>activity</w:t>
      </w:r>
      <w:r w:rsidRPr="006E012E">
        <w:t>. Notification will include anticipated dates and hours during which treatment activities are anticipated to occur and contact information, including a daytime telephone number, of the project representative. Recommendations to assist noise-sensitive land uses in reducing interior noise levels (e.g., closing windows and doors) will also be included in the notification.</w:t>
      </w:r>
      <w:r w:rsidR="0021696E">
        <w:t xml:space="preserve"> This SPR</w:t>
      </w:r>
      <w:r w:rsidR="00A51816">
        <w:t xml:space="preserve"> </w:t>
      </w:r>
      <w:r w:rsidR="0021696E">
        <w:t xml:space="preserve">applies </w:t>
      </w:r>
      <w:r w:rsidR="0087139A">
        <w:t xml:space="preserve">only </w:t>
      </w:r>
      <w:r w:rsidR="0021696E">
        <w:t>to mechanical treatment activities</w:t>
      </w:r>
      <w:r w:rsidR="00A51816">
        <w:t xml:space="preserve"> and all treatment types</w:t>
      </w:r>
      <w:r w:rsidR="00395F11">
        <w:rPr>
          <w:u w:val="single"/>
        </w:rPr>
        <w:t>, including treatment maintenance</w:t>
      </w:r>
      <w:r w:rsidR="0021696E">
        <w:t>.</w:t>
      </w:r>
      <w:bookmarkEnd w:id="96"/>
    </w:p>
    <w:p w14:paraId="6CCDCF61" w14:textId="784E6F2F" w:rsidR="00DA3B54" w:rsidRPr="00E8711F" w:rsidRDefault="00DA3B54" w:rsidP="0073681E">
      <w:pPr>
        <w:pStyle w:val="BodyText"/>
        <w:keepLines/>
      </w:pPr>
      <w:r w:rsidRPr="00E830A1">
        <w:t xml:space="preserve">To assess treatment-related noise, sensitive receptors that have the potential to be impacted and their relative exposure were identified based on </w:t>
      </w:r>
      <w:r w:rsidR="00046A51" w:rsidRPr="00E830A1">
        <w:t xml:space="preserve">public and private </w:t>
      </w:r>
      <w:r w:rsidRPr="00E830A1">
        <w:t>land uses in</w:t>
      </w:r>
      <w:r w:rsidR="00146C67" w:rsidRPr="00E830A1">
        <w:t xml:space="preserve"> </w:t>
      </w:r>
      <w:r w:rsidR="00046A51">
        <w:t xml:space="preserve">the </w:t>
      </w:r>
      <w:r w:rsidR="00146C67" w:rsidRPr="00E830A1">
        <w:t>treatable landscape</w:t>
      </w:r>
      <w:r w:rsidRPr="00E830A1">
        <w:t xml:space="preserve">. </w:t>
      </w:r>
      <w:r w:rsidR="00FE11EA" w:rsidRPr="00E830A1">
        <w:t xml:space="preserve">Reference </w:t>
      </w:r>
      <w:r w:rsidR="00FE11EA">
        <w:t xml:space="preserve">noise </w:t>
      </w:r>
      <w:r w:rsidR="00FE11EA" w:rsidRPr="00E830A1">
        <w:t xml:space="preserve">levels for specific equipment </w:t>
      </w:r>
      <w:r w:rsidR="00FE11EA" w:rsidRPr="00E8711F">
        <w:t xml:space="preserve">and treatment activities are well documented and application of reference noise levels is a common practice in the field of acoustics. </w:t>
      </w:r>
      <w:r w:rsidR="00046A51" w:rsidRPr="00E8711F">
        <w:t>Treatment</w:t>
      </w:r>
      <w:r w:rsidRPr="00E8711F">
        <w:t xml:space="preserve">-generated noise levels were determined based on methodologies, reference </w:t>
      </w:r>
      <w:r w:rsidR="00063DBB" w:rsidRPr="00E8711F">
        <w:t>noise</w:t>
      </w:r>
      <w:r w:rsidRPr="00E8711F">
        <w:t xml:space="preserve"> levels, and usage factors from FTA</w:t>
      </w:r>
      <w:r w:rsidR="00DF0AA2">
        <w:t>’</w:t>
      </w:r>
      <w:r w:rsidRPr="00E8711F">
        <w:t xml:space="preserve">s </w:t>
      </w:r>
      <w:r w:rsidRPr="00E8711F">
        <w:rPr>
          <w:i/>
        </w:rPr>
        <w:t xml:space="preserve">Guide on Transit Noise and Vibration Impact Assessment </w:t>
      </w:r>
      <w:r w:rsidRPr="00E8711F">
        <w:t xml:space="preserve">(FTA 2006). See Appendix </w:t>
      </w:r>
      <w:r w:rsidR="00046A51" w:rsidRPr="00E8711F">
        <w:t>NOI-1</w:t>
      </w:r>
      <w:r w:rsidRPr="00E8711F">
        <w:t xml:space="preserve"> for detailed calculations</w:t>
      </w:r>
      <w:r w:rsidR="00046A51" w:rsidRPr="00E8711F">
        <w:t xml:space="preserve"> of treatment-generated noise levels</w:t>
      </w:r>
      <w:r w:rsidRPr="00E8711F">
        <w:t xml:space="preserve">. </w:t>
      </w:r>
    </w:p>
    <w:p w14:paraId="2228DC2C" w14:textId="16117A82" w:rsidR="004F77C9" w:rsidRPr="00E8711F" w:rsidRDefault="00F3736A" w:rsidP="00D97104">
      <w:pPr>
        <w:pStyle w:val="BodyText"/>
      </w:pPr>
      <w:r w:rsidRPr="00E8711F">
        <w:t>The SENL describes a receiver</w:t>
      </w:r>
      <w:r w:rsidR="00DF0AA2">
        <w:t>’</w:t>
      </w:r>
      <w:r w:rsidRPr="00E8711F">
        <w:t xml:space="preserve">s cumulative noise exposure from a single impulsive noise event (e.g., a passing truck, a truck downshifting to engine brake, or an aircraft flying overhead), which is a rating of a discrete noise event that compresses the total sound energy of the event into a 1-second period, measured in decibels (Caltrans 2011). These noise events can be more startling to receptors if they occur when ambient noise levels are quieter, such as during nighttime hours. </w:t>
      </w:r>
    </w:p>
    <w:p w14:paraId="08FC922E" w14:textId="7E350286" w:rsidR="004E7775" w:rsidRPr="00E8711F" w:rsidRDefault="00F3736A" w:rsidP="00D97104">
      <w:pPr>
        <w:pStyle w:val="BodyText"/>
      </w:pPr>
      <w:r w:rsidRPr="00E8711F">
        <w:t xml:space="preserve">Many studies have been conducted regarding the effects of single-event noise on sleep disturbance, but </w:t>
      </w:r>
      <w:r w:rsidR="00D561FA" w:rsidRPr="00E8711F">
        <w:t xml:space="preserve">due to </w:t>
      </w:r>
      <w:r w:rsidRPr="00E8711F">
        <w:t>the wide variation in the reaction</w:t>
      </w:r>
      <w:r w:rsidR="007B7AC7" w:rsidRPr="00E8711F">
        <w:t>s</w:t>
      </w:r>
      <w:r w:rsidRPr="00E8711F">
        <w:t xml:space="preserve"> of test subjects to SENLs of various levels, no definitive consensus has been reached with respect to a universal criterion to apply. </w:t>
      </w:r>
      <w:r w:rsidR="00046A51" w:rsidRPr="00E8711F">
        <w:t>Based on its</w:t>
      </w:r>
      <w:r w:rsidRPr="00E8711F">
        <w:t xml:space="preserve"> review of studies about sleep disturbance and SENLs, </w:t>
      </w:r>
      <w:r w:rsidR="002F045D" w:rsidRPr="00E8711F">
        <w:rPr>
          <w:spacing w:val="-2"/>
        </w:rPr>
        <w:t>Federal Interagency Committee on Aviation Noise (</w:t>
      </w:r>
      <w:r w:rsidRPr="00E8711F">
        <w:t>FICAN</w:t>
      </w:r>
      <w:r w:rsidR="002F045D" w:rsidRPr="00E8711F">
        <w:t>)</w:t>
      </w:r>
      <w:r w:rsidRPr="00E8711F">
        <w:t xml:space="preserve"> provided estimates of the percentage of people expected to be awakened when exposed to specific SENLs inside a home (FICAN 1997</w:t>
      </w:r>
      <w:r w:rsidR="00B277EB" w:rsidRPr="00E8711F">
        <w:t>).</w:t>
      </w:r>
      <w:r w:rsidR="004F77C9" w:rsidRPr="00E8711F">
        <w:t xml:space="preserve"> According to FICAN</w:t>
      </w:r>
      <w:r w:rsidR="00DF0AA2">
        <w:t>’</w:t>
      </w:r>
      <w:r w:rsidR="004F77C9" w:rsidRPr="00E8711F">
        <w:t xml:space="preserve">s review, 10 percent of the population is estimated to be awakened when the SENL interior noise level is 81 </w:t>
      </w:r>
      <w:proofErr w:type="spellStart"/>
      <w:r w:rsidR="004F77C9" w:rsidRPr="00E8711F">
        <w:t>dB.</w:t>
      </w:r>
      <w:proofErr w:type="spellEnd"/>
      <w:r w:rsidR="004F77C9" w:rsidRPr="00E8711F">
        <w:t xml:space="preserve"> An estimated 5 to 10 percent of the population is affected when the SE</w:t>
      </w:r>
      <w:r w:rsidR="002F2BDD" w:rsidRPr="00E8711F">
        <w:t>N</w:t>
      </w:r>
      <w:r w:rsidR="004F77C9" w:rsidRPr="00E8711F">
        <w:t xml:space="preserve">L interior noise level is between 65 and 81 dB, and few sleep awakenings (less than 5 percent) are predicted if the interior SENL is less than 65 </w:t>
      </w:r>
      <w:proofErr w:type="spellStart"/>
      <w:r w:rsidR="004F77C9" w:rsidRPr="00E8711F">
        <w:t>dB.</w:t>
      </w:r>
      <w:proofErr w:type="spellEnd"/>
      <w:r w:rsidR="004F77C9" w:rsidRPr="00E8711F">
        <w:t xml:space="preserve"> The SENL analysis is based on reference noise levels published by EPA. </w:t>
      </w:r>
    </w:p>
    <w:p w14:paraId="742631A1" w14:textId="7E54EFAC" w:rsidR="00435BC0" w:rsidRPr="00E8711F" w:rsidRDefault="00372F0E" w:rsidP="00435BC0">
      <w:pPr>
        <w:pStyle w:val="Heading4"/>
      </w:pPr>
      <w:r w:rsidRPr="00E8711F">
        <w:t xml:space="preserve">Thresholds of </w:t>
      </w:r>
      <w:r w:rsidR="00435BC0" w:rsidRPr="00E8711F">
        <w:t>Significance</w:t>
      </w:r>
    </w:p>
    <w:p w14:paraId="7B8C98CF" w14:textId="26AF1079" w:rsidR="00D77E7D" w:rsidRPr="00E8711F" w:rsidRDefault="00AB5F2C" w:rsidP="00DA3B54">
      <w:pPr>
        <w:pStyle w:val="BodyText"/>
      </w:pPr>
      <w:bookmarkStart w:id="98" w:name="_Hlk3035340"/>
      <w:r w:rsidRPr="00E8711F">
        <w:t>Thresholds of significance are based on Appendix G of the State CEQA Guidelines</w:t>
      </w:r>
      <w:r w:rsidR="00DC0F1E" w:rsidRPr="00E8711F">
        <w:t xml:space="preserve"> and professional judgment</w:t>
      </w:r>
      <w:r w:rsidRPr="00E8711F">
        <w:t>. A treatment implemented under the proposed CalVTP would result in a significant noise-related impact if it would:</w:t>
      </w:r>
      <w:bookmarkEnd w:id="98"/>
      <w:r w:rsidR="00205E15" w:rsidRPr="00E8711F">
        <w:t xml:space="preserve"> </w:t>
      </w:r>
    </w:p>
    <w:p w14:paraId="6B8F90BB" w14:textId="77777777" w:rsidR="00E8711F" w:rsidRPr="0073681E" w:rsidRDefault="00D77E7D" w:rsidP="00E8711F">
      <w:pPr>
        <w:pStyle w:val="Bullet1"/>
        <w:rPr>
          <w:spacing w:val="-4"/>
        </w:rPr>
      </w:pPr>
      <w:r w:rsidRPr="0073681E">
        <w:rPr>
          <w:spacing w:val="-4"/>
        </w:rPr>
        <w:t>generat</w:t>
      </w:r>
      <w:r w:rsidR="00AB5F2C" w:rsidRPr="0073681E">
        <w:rPr>
          <w:spacing w:val="-4"/>
        </w:rPr>
        <w:t>e</w:t>
      </w:r>
      <w:r w:rsidRPr="0073681E">
        <w:rPr>
          <w:spacing w:val="-4"/>
        </w:rPr>
        <w:t xml:space="preserve"> a substantial temporary </w:t>
      </w:r>
      <w:r w:rsidR="002F2BDD" w:rsidRPr="0073681E">
        <w:rPr>
          <w:spacing w:val="-4"/>
        </w:rPr>
        <w:t xml:space="preserve">or permanent </w:t>
      </w:r>
      <w:r w:rsidRPr="0073681E">
        <w:rPr>
          <w:spacing w:val="-4"/>
        </w:rPr>
        <w:t>increase in ambient noise levels in the vicinity of</w:t>
      </w:r>
      <w:r w:rsidR="00C0023E" w:rsidRPr="0073681E">
        <w:rPr>
          <w:spacing w:val="-4"/>
        </w:rPr>
        <w:t xml:space="preserve"> </w:t>
      </w:r>
      <w:r w:rsidR="002F2BDD" w:rsidRPr="0073681E">
        <w:rPr>
          <w:spacing w:val="-4"/>
        </w:rPr>
        <w:t>the project in excess of standards established in the local general plan or noise ordinance, or applicable standards of other agencies</w:t>
      </w:r>
      <w:r w:rsidR="006471C7" w:rsidRPr="0073681E">
        <w:rPr>
          <w:spacing w:val="-4"/>
        </w:rPr>
        <w:t>;</w:t>
      </w:r>
      <w:r w:rsidR="0050535A" w:rsidRPr="0073681E">
        <w:rPr>
          <w:spacing w:val="-4"/>
        </w:rPr>
        <w:t xml:space="preserve"> </w:t>
      </w:r>
    </w:p>
    <w:p w14:paraId="55346CC3" w14:textId="6C2E04C7" w:rsidR="00B522BF" w:rsidRPr="00E8711F" w:rsidRDefault="00B522BF" w:rsidP="00E8711F">
      <w:pPr>
        <w:pStyle w:val="Bullet1"/>
      </w:pPr>
      <w:r w:rsidRPr="00E8711F">
        <w:t xml:space="preserve">expose noise-sensitive residential receptors to sleep disturbance resulting from noise generated by treatment activity, including SENLs generated by </w:t>
      </w:r>
      <w:r w:rsidR="00AD7984" w:rsidRPr="00E8711F">
        <w:t>trucks at night</w:t>
      </w:r>
      <w:r w:rsidR="00E8711F">
        <w:t>;</w:t>
      </w:r>
    </w:p>
    <w:p w14:paraId="5DDFB720" w14:textId="7D6C3053" w:rsidR="006471C7" w:rsidRDefault="002F2BDD" w:rsidP="006471C7">
      <w:pPr>
        <w:pStyle w:val="Bullet1"/>
      </w:pPr>
      <w:r>
        <w:t>generate excessive groundborne vibration or groundborne noise levels</w:t>
      </w:r>
      <w:r w:rsidR="003449DE">
        <w:t>;</w:t>
      </w:r>
      <w:r>
        <w:t xml:space="preserve"> </w:t>
      </w:r>
      <w:r w:rsidR="0050535A">
        <w:t>or</w:t>
      </w:r>
    </w:p>
    <w:p w14:paraId="615667B1" w14:textId="7705C4E5" w:rsidR="008B308F" w:rsidRPr="00742B4B" w:rsidRDefault="00007A97" w:rsidP="00007A97">
      <w:pPr>
        <w:pStyle w:val="Bullet1"/>
      </w:pPr>
      <w:r>
        <w:t xml:space="preserve">for project areas located within the vicinity of a private airstrip or an airport land use plan, or where such a plan has not been adopted, within two miles of a public airport of public use airport, expose people residing or working in the project area to excessive noise. </w:t>
      </w:r>
    </w:p>
    <w:p w14:paraId="6FC9691B" w14:textId="3F00EDF8" w:rsidR="00D158A8" w:rsidRDefault="00D158A8" w:rsidP="00D158A8">
      <w:pPr>
        <w:pStyle w:val="Heading4"/>
      </w:pPr>
      <w:r>
        <w:t xml:space="preserve">Issues Not </w:t>
      </w:r>
      <w:r w:rsidR="00DF2BED">
        <w:t>Evaluated</w:t>
      </w:r>
      <w:r>
        <w:t xml:space="preserve"> Further</w:t>
      </w:r>
    </w:p>
    <w:p w14:paraId="006D6CD6" w14:textId="3B441391" w:rsidR="00D315AB" w:rsidRDefault="003449DE" w:rsidP="003F0154">
      <w:pPr>
        <w:pStyle w:val="BodyText"/>
      </w:pPr>
      <w:r>
        <w:t>Implementation of treatments under</w:t>
      </w:r>
      <w:r w:rsidR="00713F93">
        <w:t xml:space="preserve"> the CalVTP </w:t>
      </w:r>
      <w:r w:rsidR="003F0154" w:rsidRPr="00DC3233">
        <w:t>would not result in the long-term operation of a</w:t>
      </w:r>
      <w:r>
        <w:t>ny</w:t>
      </w:r>
      <w:r w:rsidR="003F0154" w:rsidRPr="00DC3233">
        <w:t xml:space="preserve"> source of ground vibration, such as pile driving, drilling, boring, or rock blasting. </w:t>
      </w:r>
      <w:r w:rsidR="00EE5EAE" w:rsidRPr="005A69D1">
        <w:t xml:space="preserve">Thus, </w:t>
      </w:r>
      <w:r w:rsidR="009E5C01">
        <w:t>treatments under the CalVTP</w:t>
      </w:r>
      <w:r w:rsidR="00EE5EAE" w:rsidRPr="005A69D1">
        <w:t xml:space="preserve"> would not result in the exposure of sensitive receptors to levels of excessive vibration or </w:t>
      </w:r>
      <w:r w:rsidR="009E5C01">
        <w:t>groundborne noise</w:t>
      </w:r>
      <w:r w:rsidR="00EE5EAE" w:rsidRPr="005A69D1">
        <w:t xml:space="preserve"> levels</w:t>
      </w:r>
      <w:r w:rsidR="009E5C01">
        <w:t xml:space="preserve">. </w:t>
      </w:r>
      <w:r w:rsidR="00B503D8">
        <w:t>Groundborne vibration and groundborne noise are</w:t>
      </w:r>
      <w:r w:rsidR="00D315AB" w:rsidRPr="00580953">
        <w:t xml:space="preserve"> not discussed further. </w:t>
      </w:r>
    </w:p>
    <w:p w14:paraId="79B1D762" w14:textId="288EBC0E" w:rsidR="001A7138" w:rsidRDefault="00B503D8" w:rsidP="00D315AB">
      <w:pPr>
        <w:pStyle w:val="BodyText"/>
      </w:pPr>
      <w:r>
        <w:lastRenderedPageBreak/>
        <w:t>Implementation of treatments under</w:t>
      </w:r>
      <w:r w:rsidR="002F045D">
        <w:t xml:space="preserve"> the CalVTP</w:t>
      </w:r>
      <w:r w:rsidR="003F0154" w:rsidRPr="00DC3233">
        <w:t xml:space="preserve"> would not result in the long-term operation of any stationary noise sources, result in a </w:t>
      </w:r>
      <w:r w:rsidR="00800D91">
        <w:t>permanent</w:t>
      </w:r>
      <w:r w:rsidR="003F0154" w:rsidRPr="00DC3233">
        <w:t xml:space="preserve"> increase in noise-generating vehicle trips</w:t>
      </w:r>
      <w:r w:rsidR="00800D91">
        <w:t xml:space="preserve"> or other </w:t>
      </w:r>
      <w:r>
        <w:t xml:space="preserve">long-term or permanent </w:t>
      </w:r>
      <w:r w:rsidR="00800D91">
        <w:t>noise-generating activity</w:t>
      </w:r>
      <w:r w:rsidR="003F0154" w:rsidRPr="00DC3233">
        <w:t>. Therefore</w:t>
      </w:r>
      <w:r>
        <w:t>, implementation of</w:t>
      </w:r>
      <w:r w:rsidR="002F045D">
        <w:t xml:space="preserve"> the CalVTP</w:t>
      </w:r>
      <w:r w:rsidR="002F045D" w:rsidRPr="00DC3233">
        <w:t xml:space="preserve"> </w:t>
      </w:r>
      <w:r w:rsidR="003F0154" w:rsidRPr="00DC3233">
        <w:t xml:space="preserve">would not result in a permanent increase in ambient noise levels </w:t>
      </w:r>
      <w:r>
        <w:t>anywhere in the treatable landscape</w:t>
      </w:r>
      <w:r w:rsidR="003F0154" w:rsidRPr="00DC3233">
        <w:t>.</w:t>
      </w:r>
      <w:r w:rsidR="00D315AB" w:rsidRPr="00D315AB">
        <w:t xml:space="preserve"> </w:t>
      </w:r>
      <w:r>
        <w:t>Permanent increase in ambient noise</w:t>
      </w:r>
      <w:r w:rsidR="00D315AB" w:rsidRPr="00580953">
        <w:t xml:space="preserve"> is not discussed further.</w:t>
      </w:r>
    </w:p>
    <w:p w14:paraId="64DAF9BE" w14:textId="7A32532F" w:rsidR="00B503D8" w:rsidRDefault="00007A97" w:rsidP="00D315AB">
      <w:pPr>
        <w:pStyle w:val="BodyText"/>
      </w:pPr>
      <w:r>
        <w:t>Implementation of treatments under the CalVTP would not result in the siting of noise-sensitive land uses or receptors in the vicinity of a private airstrip, airport land use plan, or within two miles of a public airport.</w:t>
      </w:r>
      <w:r w:rsidR="00DF0AA2">
        <w:t xml:space="preserve"> </w:t>
      </w:r>
      <w:r>
        <w:t xml:space="preserve">Airport noise exposure is not discussed further. </w:t>
      </w:r>
    </w:p>
    <w:p w14:paraId="1DB16CBF" w14:textId="45F2A7C7" w:rsidR="00DF2BED" w:rsidRPr="001A7138" w:rsidRDefault="00435BC0" w:rsidP="001A7138">
      <w:pPr>
        <w:pStyle w:val="Heading4"/>
      </w:pPr>
      <w:r>
        <w:t>Impact</w:t>
      </w:r>
      <w:r w:rsidR="00DF2BED">
        <w:t xml:space="preserve"> Analysis</w:t>
      </w:r>
    </w:p>
    <w:p w14:paraId="1126C7DE" w14:textId="0886FA51" w:rsidR="00CC6290" w:rsidRPr="00CC6793" w:rsidRDefault="00CC6290" w:rsidP="00CC6290">
      <w:pPr>
        <w:pStyle w:val="ImpactNo"/>
      </w:pPr>
      <w:r w:rsidRPr="00CC6793">
        <w:t xml:space="preserve">Impact </w:t>
      </w:r>
      <w:r w:rsidR="00D31347">
        <w:t>NOI</w:t>
      </w:r>
      <w:r w:rsidR="00C71CB9">
        <w:t>-</w:t>
      </w:r>
      <w:r w:rsidR="00D97C8B">
        <w:t>1</w:t>
      </w:r>
      <w:r w:rsidRPr="00CC6793">
        <w:t xml:space="preserve">: </w:t>
      </w:r>
      <w:r w:rsidR="00C53F49">
        <w:t xml:space="preserve">Result in a </w:t>
      </w:r>
      <w:r w:rsidR="00155AB2">
        <w:t>S</w:t>
      </w:r>
      <w:r w:rsidR="00155AB2" w:rsidRPr="00C16CDB">
        <w:t>ubstantial</w:t>
      </w:r>
      <w:r w:rsidR="00155AB2">
        <w:t xml:space="preserve"> Short-Term </w:t>
      </w:r>
      <w:r w:rsidR="00155AB2" w:rsidRPr="00C16CDB">
        <w:t xml:space="preserve">Increase </w:t>
      </w:r>
      <w:r w:rsidR="00155AB2">
        <w:t>i</w:t>
      </w:r>
      <w:r w:rsidR="00155AB2" w:rsidRPr="00C16CDB">
        <w:t xml:space="preserve">n </w:t>
      </w:r>
      <w:r w:rsidR="00155AB2">
        <w:t xml:space="preserve">Exterior </w:t>
      </w:r>
      <w:r w:rsidR="00155AB2" w:rsidRPr="00C16CDB">
        <w:t>Ambient Noise Levels</w:t>
      </w:r>
      <w:r w:rsidR="00155AB2">
        <w:t xml:space="preserve"> During Treatment Implementation</w:t>
      </w:r>
    </w:p>
    <w:p w14:paraId="7AB04648" w14:textId="17B47AEC" w:rsidR="0050217E" w:rsidRPr="00CC6793" w:rsidRDefault="00353E83" w:rsidP="00D97104">
      <w:pPr>
        <w:pStyle w:val="Impactdescription"/>
      </w:pPr>
      <w:bookmarkStart w:id="99" w:name="_Toc464034589"/>
      <w:r>
        <w:t>Vegetation treatment</w:t>
      </w:r>
      <w:r w:rsidRPr="00754BD5">
        <w:t xml:space="preserve"> </w:t>
      </w:r>
      <w:r>
        <w:t xml:space="preserve">activities </w:t>
      </w:r>
      <w:r w:rsidR="00886F61">
        <w:t xml:space="preserve">implemented </w:t>
      </w:r>
      <w:r w:rsidRPr="00754BD5">
        <w:t>under th</w:t>
      </w:r>
      <w:r>
        <w:t>e</w:t>
      </w:r>
      <w:r w:rsidRPr="00754BD5">
        <w:t xml:space="preserve"> </w:t>
      </w:r>
      <w:r w:rsidR="000B4B5E">
        <w:t>CalVTP</w:t>
      </w:r>
      <w:r w:rsidRPr="00754BD5">
        <w:t xml:space="preserve"> would adhere to the SPRs</w:t>
      </w:r>
      <w:r w:rsidR="000C22FE">
        <w:t xml:space="preserve"> that require</w:t>
      </w:r>
      <w:r w:rsidR="00D964DE">
        <w:t xml:space="preserve"> consisten</w:t>
      </w:r>
      <w:r w:rsidR="000C22FE">
        <w:t>cy</w:t>
      </w:r>
      <w:r w:rsidR="00D964DE">
        <w:t xml:space="preserve"> with local </w:t>
      </w:r>
      <w:r w:rsidR="000C22FE">
        <w:t xml:space="preserve">noise </w:t>
      </w:r>
      <w:r w:rsidR="00D964DE" w:rsidRPr="00D6194B">
        <w:t>policies</w:t>
      </w:r>
      <w:r w:rsidR="00D964DE">
        <w:t xml:space="preserve"> and ordinances to the extent the project is subject to them, </w:t>
      </w:r>
      <w:r>
        <w:t>limit vegetation treatment</w:t>
      </w:r>
      <w:r w:rsidRPr="00754BD5">
        <w:t xml:space="preserve"> activities to daytime hours</w:t>
      </w:r>
      <w:r>
        <w:t>,</w:t>
      </w:r>
      <w:r w:rsidRPr="00754BD5">
        <w:t xml:space="preserve"> </w:t>
      </w:r>
      <w:r>
        <w:t>ensur</w:t>
      </w:r>
      <w:r w:rsidR="000C22FE">
        <w:t>e</w:t>
      </w:r>
      <w:r>
        <w:t xml:space="preserve"> </w:t>
      </w:r>
      <w:r w:rsidRPr="00754BD5">
        <w:t xml:space="preserve">proper notification </w:t>
      </w:r>
      <w:r w:rsidR="000C22FE">
        <w:t>of</w:t>
      </w:r>
      <w:r w:rsidRPr="00754BD5">
        <w:t xml:space="preserve"> nearby sensitive receptors</w:t>
      </w:r>
      <w:r>
        <w:t>,</w:t>
      </w:r>
      <w:r w:rsidR="00FD000C">
        <w:t xml:space="preserve"> and</w:t>
      </w:r>
      <w:r>
        <w:t xml:space="preserve"> locat</w:t>
      </w:r>
      <w:r w:rsidR="000C22FE">
        <w:t>e</w:t>
      </w:r>
      <w:r>
        <w:t xml:space="preserve"> </w:t>
      </w:r>
      <w:r w:rsidR="000C22FE">
        <w:t>treatment</w:t>
      </w:r>
      <w:r w:rsidR="000C22FE" w:rsidRPr="00754BD5">
        <w:t xml:space="preserve"> </w:t>
      </w:r>
      <w:r w:rsidRPr="00754BD5">
        <w:t>activities and staging areas</w:t>
      </w:r>
      <w:r w:rsidR="00F160C3">
        <w:t xml:space="preserve"> </w:t>
      </w:r>
      <w:r w:rsidR="00D439AD">
        <w:t>away</w:t>
      </w:r>
      <w:r w:rsidRPr="00D439AD">
        <w:t xml:space="preserve"> from sensitive receptors</w:t>
      </w:r>
      <w:r w:rsidR="00CD3103" w:rsidRPr="00D439AD">
        <w:t xml:space="preserve"> to minimize noise exposure</w:t>
      </w:r>
      <w:r w:rsidR="00FD000C" w:rsidRPr="00D439AD">
        <w:t>.</w:t>
      </w:r>
      <w:r>
        <w:t xml:space="preserve"> Additionally, </w:t>
      </w:r>
      <w:r w:rsidRPr="00DC3233">
        <w:t>any increase in noise exposure at nearby receptors would be temporary and periodic</w:t>
      </w:r>
      <w:r w:rsidR="00FD000C">
        <w:t>. T</w:t>
      </w:r>
      <w:r>
        <w:t xml:space="preserve">herefore, implementation of the </w:t>
      </w:r>
      <w:r w:rsidR="000B4B5E">
        <w:t>CalVTP</w:t>
      </w:r>
      <w:r>
        <w:t xml:space="preserve"> </w:t>
      </w:r>
      <w:r w:rsidR="00D964DE">
        <w:t>would not</w:t>
      </w:r>
      <w:r w:rsidRPr="00754BD5">
        <w:t xml:space="preserve"> result in the exposure of noise-sensitive receptors to a substantial temporary increase in ambient noise levels</w:t>
      </w:r>
      <w:r>
        <w:t>. T</w:t>
      </w:r>
      <w:r w:rsidRPr="00754BD5">
        <w:t xml:space="preserve">his impact would </w:t>
      </w:r>
      <w:r w:rsidR="00D964DE">
        <w:t xml:space="preserve">be </w:t>
      </w:r>
      <w:r w:rsidR="00D964DE" w:rsidRPr="00D964DE">
        <w:rPr>
          <w:b/>
        </w:rPr>
        <w:t>less than</w:t>
      </w:r>
      <w:r w:rsidR="00D964DE">
        <w:t xml:space="preserve"> </w:t>
      </w:r>
      <w:r w:rsidRPr="00D96422">
        <w:rPr>
          <w:b/>
        </w:rPr>
        <w:t>significant</w:t>
      </w:r>
      <w:r w:rsidRPr="00754BD5">
        <w:t>.</w:t>
      </w:r>
      <w:r w:rsidR="00E56BAA">
        <w:t xml:space="preserve"> </w:t>
      </w:r>
    </w:p>
    <w:p w14:paraId="16C5E747" w14:textId="1329728F" w:rsidR="00A62D6B" w:rsidRPr="00035CE2" w:rsidRDefault="000C22FE" w:rsidP="002055A4">
      <w:pPr>
        <w:pStyle w:val="BodyText"/>
      </w:pPr>
      <w:r>
        <w:t>T</w:t>
      </w:r>
      <w:r w:rsidRPr="00680531">
        <w:t xml:space="preserve">reatment </w:t>
      </w:r>
      <w:r>
        <w:t>activities</w:t>
      </w:r>
      <w:r w:rsidRPr="00680531">
        <w:t xml:space="preserve"> would typically be </w:t>
      </w:r>
      <w:r>
        <w:t>applied</w:t>
      </w:r>
      <w:r w:rsidRPr="00680531">
        <w:t xml:space="preserve"> in combination</w:t>
      </w:r>
      <w:r>
        <w:t xml:space="preserve"> to implement a treatment type</w:t>
      </w:r>
      <w:r w:rsidRPr="00680531">
        <w:t xml:space="preserve">. </w:t>
      </w:r>
      <w:r w:rsidR="00C733D4" w:rsidRPr="00680531">
        <w:t xml:space="preserve">Vegetation treatment types would vary </w:t>
      </w:r>
      <w:r>
        <w:t xml:space="preserve">across the treatable landscape </w:t>
      </w:r>
      <w:r w:rsidR="00C733D4" w:rsidRPr="00680531">
        <w:t xml:space="preserve">based </w:t>
      </w:r>
      <w:r w:rsidR="00BB2F4E" w:rsidRPr="00680531">
        <w:t xml:space="preserve">on the fuel type being treated, </w:t>
      </w:r>
      <w:r w:rsidR="00680531" w:rsidRPr="00680531">
        <w:t>site topography</w:t>
      </w:r>
      <w:r w:rsidR="00BB2F4E" w:rsidRPr="00680531">
        <w:t xml:space="preserve">, accessibility, </w:t>
      </w:r>
      <w:r w:rsidR="00680531" w:rsidRPr="00680531">
        <w:t xml:space="preserve">ecological conditions, </w:t>
      </w:r>
      <w:r w:rsidR="00BB2F4E" w:rsidRPr="00680531">
        <w:t>and</w:t>
      </w:r>
      <w:r w:rsidR="00680531" w:rsidRPr="00680531">
        <w:t xml:space="preserve"> other </w:t>
      </w:r>
      <w:r w:rsidR="00C15E76">
        <w:t>factors</w:t>
      </w:r>
      <w:r w:rsidR="00680531" w:rsidRPr="00680531">
        <w:t xml:space="preserve">. </w:t>
      </w:r>
      <w:r w:rsidR="00B87F15">
        <w:t xml:space="preserve">The most </w:t>
      </w:r>
      <w:r w:rsidR="00C15E76">
        <w:t>noise</w:t>
      </w:r>
      <w:r>
        <w:t>-</w:t>
      </w:r>
      <w:r w:rsidR="00C15E76">
        <w:t xml:space="preserve">intensive vegetation treatment </w:t>
      </w:r>
      <w:r>
        <w:t xml:space="preserve">activities </w:t>
      </w:r>
      <w:r w:rsidR="003D132F">
        <w:t>are</w:t>
      </w:r>
      <w:r>
        <w:t xml:space="preserve"> </w:t>
      </w:r>
      <w:r w:rsidR="00C15E76">
        <w:t xml:space="preserve">prescribed burning, mechanical vegetation treatment, and manual vegetation treatment. </w:t>
      </w:r>
      <w:r w:rsidR="001F1CAD">
        <w:t>Prescribed herbivory and herbicide application would not require the use of heavy off-road equipment</w:t>
      </w:r>
      <w:r w:rsidR="003D132F">
        <w:t>; noise generated by these treatment types would be negligible and they are not further discussed</w:t>
      </w:r>
      <w:r w:rsidR="001F1CAD">
        <w:t xml:space="preserve">. </w:t>
      </w:r>
      <w:r w:rsidR="00C15E76">
        <w:t xml:space="preserve">The typical equipment </w:t>
      </w:r>
      <w:r w:rsidR="00E97E9E">
        <w:t xml:space="preserve">used for each </w:t>
      </w:r>
      <w:r w:rsidR="003D132F">
        <w:t>noise-g</w:t>
      </w:r>
      <w:r w:rsidR="003D132F" w:rsidRPr="00035CE2">
        <w:t xml:space="preserve">enerating </w:t>
      </w:r>
      <w:r w:rsidR="00C15E76" w:rsidRPr="00035CE2">
        <w:t xml:space="preserve">treatment </w:t>
      </w:r>
      <w:r w:rsidR="003D132F" w:rsidRPr="00035CE2">
        <w:t>activity</w:t>
      </w:r>
      <w:r w:rsidR="00C15E76" w:rsidRPr="00035CE2">
        <w:t xml:space="preserve">, as described in Section </w:t>
      </w:r>
      <w:r w:rsidR="003D132F" w:rsidRPr="00035CE2">
        <w:t xml:space="preserve">2.5.2 of Chapter </w:t>
      </w:r>
      <w:r w:rsidR="00C15E76" w:rsidRPr="00035CE2">
        <w:t xml:space="preserve">2, </w:t>
      </w:r>
      <w:r w:rsidR="00DF0AA2">
        <w:t>“</w:t>
      </w:r>
      <w:r w:rsidR="00C15E76" w:rsidRPr="00035CE2">
        <w:t>Program Description,</w:t>
      </w:r>
      <w:r w:rsidR="00DF0AA2">
        <w:t>”</w:t>
      </w:r>
      <w:r w:rsidR="00C15E76" w:rsidRPr="00035CE2">
        <w:t xml:space="preserve"> </w:t>
      </w:r>
      <w:r w:rsidR="003D132F" w:rsidRPr="00035CE2">
        <w:t xml:space="preserve">is </w:t>
      </w:r>
      <w:r w:rsidR="00E97E9E" w:rsidRPr="00035CE2">
        <w:t>summarized</w:t>
      </w:r>
      <w:r w:rsidR="00C15E76" w:rsidRPr="00035CE2">
        <w:t xml:space="preserve"> in Table 3.13-</w:t>
      </w:r>
      <w:r w:rsidR="002B51C5" w:rsidRPr="00035CE2">
        <w:t>4</w:t>
      </w:r>
      <w:r w:rsidR="00A62D6B" w:rsidRPr="00035CE2">
        <w:t xml:space="preserve">. </w:t>
      </w:r>
    </w:p>
    <w:p w14:paraId="53C3EA16" w14:textId="77777777" w:rsidR="0073681E" w:rsidRPr="00DC3233" w:rsidRDefault="0073681E" w:rsidP="00915569">
      <w:pPr>
        <w:pStyle w:val="TableHeader"/>
      </w:pPr>
      <w:bookmarkStart w:id="100" w:name="_Toc23837260"/>
      <w:r w:rsidRPr="00035CE2">
        <w:t>Table 3.13-4</w:t>
      </w:r>
      <w:r w:rsidRPr="00035CE2">
        <w:tab/>
        <w:t xml:space="preserve">Equipment by Treatment </w:t>
      </w:r>
      <w:r>
        <w:t>Activity</w:t>
      </w:r>
      <w:bookmarkEnd w:id="100"/>
    </w:p>
    <w:tbl>
      <w:tblPr>
        <w:tblW w:w="10080" w:type="dxa"/>
        <w:jc w:val="center"/>
        <w:tblBorders>
          <w:top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5040"/>
        <w:gridCol w:w="5040"/>
      </w:tblGrid>
      <w:tr w:rsidR="00C15E76" w:rsidRPr="00DC3233" w14:paraId="47FF7C8E" w14:textId="77777777" w:rsidTr="0073681E">
        <w:trPr>
          <w:trHeight w:val="20"/>
          <w:tblHeader/>
          <w:jc w:val="center"/>
        </w:trPr>
        <w:tc>
          <w:tcPr>
            <w:tcW w:w="5040" w:type="dxa"/>
            <w:tcBorders>
              <w:top w:val="single" w:sz="4" w:space="0" w:color="auto"/>
            </w:tcBorders>
            <w:shd w:val="clear" w:color="auto" w:fill="D9D9D9" w:themeFill="background1" w:themeFillShade="D9"/>
            <w:vAlign w:val="center"/>
          </w:tcPr>
          <w:p w14:paraId="335CA069" w14:textId="09CFB616" w:rsidR="00C15E76" w:rsidRPr="00DC3233" w:rsidRDefault="00C15E76" w:rsidP="00915569">
            <w:pPr>
              <w:pStyle w:val="TableColumn"/>
            </w:pPr>
            <w:r>
              <w:t xml:space="preserve">Treatment </w:t>
            </w:r>
            <w:r w:rsidR="003D132F">
              <w:t>Activity</w:t>
            </w:r>
          </w:p>
        </w:tc>
        <w:tc>
          <w:tcPr>
            <w:tcW w:w="5040" w:type="dxa"/>
            <w:tcBorders>
              <w:top w:val="single" w:sz="4" w:space="0" w:color="auto"/>
            </w:tcBorders>
            <w:shd w:val="clear" w:color="auto" w:fill="D9D9D9" w:themeFill="background1" w:themeFillShade="D9"/>
            <w:vAlign w:val="center"/>
          </w:tcPr>
          <w:p w14:paraId="0382B251" w14:textId="2B4F3131" w:rsidR="00C15E76" w:rsidRPr="00DC3233" w:rsidRDefault="00C15E76" w:rsidP="00915569">
            <w:pPr>
              <w:pStyle w:val="TableColumn"/>
            </w:pPr>
            <w:r>
              <w:t>Equipment Type</w:t>
            </w:r>
            <w:r w:rsidR="00EF1907">
              <w:t>s</w:t>
            </w:r>
          </w:p>
        </w:tc>
      </w:tr>
      <w:tr w:rsidR="00C15E76" w:rsidRPr="00DC3233" w14:paraId="2DFA0C5A" w14:textId="77777777" w:rsidTr="0073681E">
        <w:trPr>
          <w:trHeight w:val="20"/>
          <w:jc w:val="center"/>
        </w:trPr>
        <w:tc>
          <w:tcPr>
            <w:tcW w:w="5040" w:type="dxa"/>
            <w:vAlign w:val="center"/>
          </w:tcPr>
          <w:p w14:paraId="2F5A3718" w14:textId="03FB5185" w:rsidR="00C15E76" w:rsidRPr="00DC3233" w:rsidRDefault="00C15E76" w:rsidP="004314A6">
            <w:pPr>
              <w:pStyle w:val="TableText"/>
            </w:pPr>
            <w:r>
              <w:t>Prescribed Burn</w:t>
            </w:r>
          </w:p>
        </w:tc>
        <w:tc>
          <w:tcPr>
            <w:tcW w:w="5040" w:type="dxa"/>
          </w:tcPr>
          <w:p w14:paraId="7BD4C26C" w14:textId="2F813351" w:rsidR="00C15E76" w:rsidRDefault="00C15E76" w:rsidP="00C15E76">
            <w:pPr>
              <w:pStyle w:val="TableText"/>
            </w:pPr>
            <w:r>
              <w:t>Fire Engines (2 to 10 engines)</w:t>
            </w:r>
          </w:p>
          <w:p w14:paraId="61615DF2" w14:textId="77777777" w:rsidR="00C15E76" w:rsidRDefault="00C15E76" w:rsidP="00C15E76">
            <w:pPr>
              <w:pStyle w:val="TableText"/>
            </w:pPr>
            <w:r>
              <w:t>Bulldozers (up to 2)</w:t>
            </w:r>
          </w:p>
          <w:p w14:paraId="046ACDB8" w14:textId="77777777" w:rsidR="00C15E76" w:rsidRDefault="00C15E76" w:rsidP="00C15E76">
            <w:pPr>
              <w:pStyle w:val="TableText"/>
            </w:pPr>
            <w:r>
              <w:t>Masticators or Track Chippers</w:t>
            </w:r>
          </w:p>
          <w:p w14:paraId="57D57EBD" w14:textId="77777777" w:rsidR="00C15E76" w:rsidRDefault="00C15E76" w:rsidP="00C15E76">
            <w:pPr>
              <w:pStyle w:val="TableText"/>
            </w:pPr>
            <w:r>
              <w:t>Water Truck</w:t>
            </w:r>
          </w:p>
          <w:p w14:paraId="33004F96" w14:textId="63B1BDFD" w:rsidR="00C15E76" w:rsidRPr="00DA5F29" w:rsidRDefault="00C15E76" w:rsidP="00C15E76">
            <w:pPr>
              <w:pStyle w:val="TableText"/>
              <w:rPr>
                <w:vertAlign w:val="superscript"/>
              </w:rPr>
            </w:pPr>
            <w:r>
              <w:t>Helicopter</w:t>
            </w:r>
            <w:r w:rsidR="00DA5F29">
              <w:rPr>
                <w:vertAlign w:val="superscript"/>
              </w:rPr>
              <w:t>1</w:t>
            </w:r>
          </w:p>
        </w:tc>
      </w:tr>
      <w:tr w:rsidR="00C15E76" w:rsidRPr="00DC3233" w14:paraId="75D1C5D8" w14:textId="77777777" w:rsidTr="0073681E">
        <w:trPr>
          <w:trHeight w:val="20"/>
          <w:jc w:val="center"/>
        </w:trPr>
        <w:tc>
          <w:tcPr>
            <w:tcW w:w="5040" w:type="dxa"/>
            <w:tcBorders>
              <w:bottom w:val="single" w:sz="4" w:space="0" w:color="auto"/>
            </w:tcBorders>
            <w:vAlign w:val="center"/>
          </w:tcPr>
          <w:p w14:paraId="6CB8B0E2" w14:textId="5D82E563" w:rsidR="00C15E76" w:rsidRPr="00DC3233" w:rsidRDefault="007D6BEB" w:rsidP="004314A6">
            <w:pPr>
              <w:pStyle w:val="TableText"/>
            </w:pPr>
            <w:r>
              <w:t>Mechanical Vegetation Treatment</w:t>
            </w:r>
          </w:p>
        </w:tc>
        <w:tc>
          <w:tcPr>
            <w:tcW w:w="5040" w:type="dxa"/>
            <w:tcBorders>
              <w:bottom w:val="single" w:sz="4" w:space="0" w:color="auto"/>
            </w:tcBorders>
          </w:tcPr>
          <w:p w14:paraId="6F68043D" w14:textId="77777777" w:rsidR="007D6BEB" w:rsidRDefault="007D6BEB" w:rsidP="007D6BEB">
            <w:pPr>
              <w:pStyle w:val="TableText"/>
            </w:pPr>
            <w:r>
              <w:t>Dozers</w:t>
            </w:r>
          </w:p>
          <w:p w14:paraId="3BA64832" w14:textId="77777777" w:rsidR="00C15E76" w:rsidRDefault="007D6BEB" w:rsidP="00915569">
            <w:pPr>
              <w:pStyle w:val="TableText"/>
            </w:pPr>
            <w:r>
              <w:t>Excavators</w:t>
            </w:r>
          </w:p>
          <w:p w14:paraId="06C1EA48" w14:textId="29A77447" w:rsidR="007D6BEB" w:rsidRDefault="007D6BEB" w:rsidP="00915569">
            <w:pPr>
              <w:pStyle w:val="TableText"/>
            </w:pPr>
            <w:r>
              <w:t>Masticators</w:t>
            </w:r>
          </w:p>
          <w:p w14:paraId="3CFD5962" w14:textId="28CE2082" w:rsidR="007D6BEB" w:rsidRDefault="007D6BEB" w:rsidP="00915569">
            <w:pPr>
              <w:pStyle w:val="TableText"/>
            </w:pPr>
            <w:r>
              <w:t>Chippers</w:t>
            </w:r>
          </w:p>
          <w:p w14:paraId="4DAA946F" w14:textId="77777777" w:rsidR="007D6BEB" w:rsidRDefault="007D6BEB" w:rsidP="00915569">
            <w:pPr>
              <w:pStyle w:val="TableText"/>
            </w:pPr>
            <w:r>
              <w:t>Skid Steer</w:t>
            </w:r>
          </w:p>
          <w:p w14:paraId="0466C64A" w14:textId="4CA510B9" w:rsidR="007D6BEB" w:rsidRPr="00DC3233" w:rsidRDefault="007D6BEB" w:rsidP="00915569">
            <w:pPr>
              <w:pStyle w:val="TableText"/>
            </w:pPr>
            <w:r>
              <w:t>Fire Engines (at least 1)</w:t>
            </w:r>
          </w:p>
        </w:tc>
      </w:tr>
      <w:tr w:rsidR="00C15E76" w:rsidRPr="00DC3233" w14:paraId="10CFD9A4" w14:textId="77777777" w:rsidTr="0073681E">
        <w:trPr>
          <w:trHeight w:val="20"/>
          <w:jc w:val="center"/>
        </w:trPr>
        <w:tc>
          <w:tcPr>
            <w:tcW w:w="5040" w:type="dxa"/>
            <w:tcBorders>
              <w:bottom w:val="single" w:sz="4" w:space="0" w:color="auto"/>
            </w:tcBorders>
            <w:vAlign w:val="center"/>
          </w:tcPr>
          <w:p w14:paraId="0B9FDBD2" w14:textId="57FC47B6" w:rsidR="00C15E76" w:rsidRPr="00DC3233" w:rsidRDefault="007D6BEB" w:rsidP="004314A6">
            <w:pPr>
              <w:pStyle w:val="TableText"/>
            </w:pPr>
            <w:r>
              <w:t>Manual Vegetation Treatment</w:t>
            </w:r>
          </w:p>
        </w:tc>
        <w:tc>
          <w:tcPr>
            <w:tcW w:w="5040" w:type="dxa"/>
            <w:tcBorders>
              <w:bottom w:val="single" w:sz="4" w:space="0" w:color="auto"/>
            </w:tcBorders>
          </w:tcPr>
          <w:p w14:paraId="222C7D40" w14:textId="341839DA" w:rsidR="00C15E76" w:rsidRDefault="007D6BEB" w:rsidP="00915569">
            <w:pPr>
              <w:pStyle w:val="TableText"/>
            </w:pPr>
            <w:r>
              <w:t>Chainsaws (4 to 8)</w:t>
            </w:r>
          </w:p>
          <w:p w14:paraId="20703039" w14:textId="1FDF4AF0" w:rsidR="007D6BEB" w:rsidRDefault="007D6BEB" w:rsidP="00915569">
            <w:pPr>
              <w:pStyle w:val="TableText"/>
            </w:pPr>
            <w:r>
              <w:t>Masticators</w:t>
            </w:r>
          </w:p>
          <w:p w14:paraId="3C9DD655" w14:textId="77777777" w:rsidR="007D6BEB" w:rsidRDefault="007D6BEB" w:rsidP="007D6BEB">
            <w:pPr>
              <w:pStyle w:val="TableText"/>
            </w:pPr>
            <w:r>
              <w:t xml:space="preserve">Chippers (only used occasionally) </w:t>
            </w:r>
          </w:p>
          <w:p w14:paraId="0EC0AD95" w14:textId="0E345505" w:rsidR="007D6BEB" w:rsidRPr="00DC3233" w:rsidRDefault="007D6BEB" w:rsidP="007D6BEB">
            <w:pPr>
              <w:pStyle w:val="TableText"/>
            </w:pPr>
            <w:r>
              <w:t>Fire Engine</w:t>
            </w:r>
          </w:p>
        </w:tc>
      </w:tr>
    </w:tbl>
    <w:p w14:paraId="166AA51C" w14:textId="77777777" w:rsidR="0073681E" w:rsidRPr="00C15E76" w:rsidRDefault="0073681E" w:rsidP="00F85ABF">
      <w:pPr>
        <w:pStyle w:val="TableSource"/>
        <w:spacing w:after="80"/>
      </w:pPr>
      <w:r w:rsidRPr="00DC3233">
        <w:t xml:space="preserve">Notes: </w:t>
      </w:r>
      <w:r w:rsidRPr="00DC3233">
        <w:rPr>
          <w:vertAlign w:val="superscript"/>
        </w:rPr>
        <w:t xml:space="preserve">1 </w:t>
      </w:r>
      <w:r>
        <w:t xml:space="preserve">A </w:t>
      </w:r>
      <w:r w:rsidRPr="00960500">
        <w:t>helicopter</w:t>
      </w:r>
      <w:r>
        <w:t xml:space="preserve"> carrying a </w:t>
      </w:r>
      <w:proofErr w:type="spellStart"/>
      <w:r w:rsidRPr="00960500">
        <w:t>helitorch</w:t>
      </w:r>
      <w:proofErr w:type="spellEnd"/>
      <w:r>
        <w:t xml:space="preserve"> may be used in prescribed burns that involve large areas or in </w:t>
      </w:r>
      <w:r w:rsidRPr="00960500">
        <w:t>terrain</w:t>
      </w:r>
      <w:r>
        <w:t xml:space="preserve"> with limited accessibility by ground vehicles and equipment.</w:t>
      </w:r>
    </w:p>
    <w:p w14:paraId="6382C816" w14:textId="77777777" w:rsidR="0073681E" w:rsidRDefault="0073681E">
      <w:pPr>
        <w:spacing w:after="200" w:line="276" w:lineRule="auto"/>
      </w:pPr>
      <w:r>
        <w:br w:type="page"/>
      </w:r>
    </w:p>
    <w:p w14:paraId="6EE670B7" w14:textId="144CDB39" w:rsidR="00B71E28" w:rsidRDefault="001B7428" w:rsidP="0002736C">
      <w:pPr>
        <w:pStyle w:val="BodyText12ptbefore"/>
      </w:pPr>
      <w:r w:rsidRPr="00035CE2">
        <w:lastRenderedPageBreak/>
        <w:t>Reference n</w:t>
      </w:r>
      <w:r w:rsidR="00A7150B" w:rsidRPr="00035CE2">
        <w:t xml:space="preserve">oise levels for individual equipment </w:t>
      </w:r>
      <w:r w:rsidR="00EF1907" w:rsidRPr="00035CE2">
        <w:t xml:space="preserve">used in </w:t>
      </w:r>
      <w:r w:rsidR="003B12EE" w:rsidRPr="00035CE2">
        <w:t xml:space="preserve">treatment activities are summarized in </w:t>
      </w:r>
      <w:r w:rsidR="00A7150B" w:rsidRPr="00035CE2">
        <w:t>Table 3.13-5.</w:t>
      </w:r>
      <w:r w:rsidR="003B12EE">
        <w:t xml:space="preserve"> </w:t>
      </w:r>
    </w:p>
    <w:p w14:paraId="59516BD8" w14:textId="77777777" w:rsidR="0073681E" w:rsidRPr="00035CE2" w:rsidRDefault="0073681E" w:rsidP="0073681E">
      <w:pPr>
        <w:pStyle w:val="TableHeader"/>
      </w:pPr>
      <w:bookmarkStart w:id="101" w:name="_Toc23837261"/>
      <w:r w:rsidRPr="00035CE2">
        <w:t>Table 3.13-5</w:t>
      </w:r>
      <w:r w:rsidRPr="00035CE2">
        <w:tab/>
        <w:t>Noise Levels from Treatment Equipment Types</w:t>
      </w:r>
      <w:bookmarkEnd w:id="101"/>
    </w:p>
    <w:tbl>
      <w:tblPr>
        <w:tblW w:w="10080" w:type="dxa"/>
        <w:jc w:val="center"/>
        <w:tblBorders>
          <w:top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040"/>
        <w:gridCol w:w="5040"/>
      </w:tblGrid>
      <w:tr w:rsidR="002F045D" w:rsidRPr="00DC3233" w14:paraId="1AB238E9" w14:textId="77777777" w:rsidTr="0073681E">
        <w:trPr>
          <w:tblHeader/>
          <w:jc w:val="center"/>
        </w:trPr>
        <w:tc>
          <w:tcPr>
            <w:tcW w:w="5040" w:type="dxa"/>
            <w:tcBorders>
              <w:top w:val="single" w:sz="4" w:space="0" w:color="auto"/>
            </w:tcBorders>
            <w:shd w:val="clear" w:color="auto" w:fill="D9D9D9" w:themeFill="background1" w:themeFillShade="D9"/>
            <w:vAlign w:val="center"/>
          </w:tcPr>
          <w:p w14:paraId="64AC6E25" w14:textId="77777777" w:rsidR="002F045D" w:rsidRPr="00035CE2" w:rsidRDefault="002F045D" w:rsidP="0073681E">
            <w:pPr>
              <w:pStyle w:val="TableColumn"/>
              <w:keepNext/>
            </w:pPr>
            <w:r w:rsidRPr="00035CE2">
              <w:t>Equipment Type</w:t>
            </w:r>
          </w:p>
        </w:tc>
        <w:tc>
          <w:tcPr>
            <w:tcW w:w="5040" w:type="dxa"/>
            <w:tcBorders>
              <w:top w:val="single" w:sz="4" w:space="0" w:color="auto"/>
            </w:tcBorders>
            <w:shd w:val="clear" w:color="auto" w:fill="D9D9D9" w:themeFill="background1" w:themeFillShade="D9"/>
            <w:vAlign w:val="center"/>
          </w:tcPr>
          <w:p w14:paraId="460A7834" w14:textId="6BF9E9D4" w:rsidR="002F045D" w:rsidRPr="00035CE2" w:rsidRDefault="002F045D" w:rsidP="0073681E">
            <w:pPr>
              <w:pStyle w:val="TableColumn"/>
            </w:pPr>
            <w:r w:rsidRPr="00035CE2">
              <w:t xml:space="preserve">Typical Noise Level (dB) </w:t>
            </w:r>
            <w:r w:rsidR="003D132F" w:rsidRPr="00035CE2">
              <w:t>at</w:t>
            </w:r>
            <w:r w:rsidRPr="00035CE2">
              <w:t xml:space="preserve"> 50 Feet</w:t>
            </w:r>
            <w:r w:rsidRPr="00035CE2">
              <w:rPr>
                <w:vertAlign w:val="superscript"/>
              </w:rPr>
              <w:t>1</w:t>
            </w:r>
          </w:p>
        </w:tc>
      </w:tr>
      <w:tr w:rsidR="002F045D" w:rsidRPr="00DC3233" w14:paraId="450788E9" w14:textId="77777777" w:rsidTr="0073681E">
        <w:trPr>
          <w:jc w:val="center"/>
        </w:trPr>
        <w:tc>
          <w:tcPr>
            <w:tcW w:w="5040" w:type="dxa"/>
          </w:tcPr>
          <w:p w14:paraId="423E0A34" w14:textId="77777777" w:rsidR="002F045D" w:rsidRPr="00035CE2" w:rsidRDefault="002F045D" w:rsidP="0073681E">
            <w:pPr>
              <w:pStyle w:val="TableText"/>
              <w:keepNext/>
            </w:pPr>
            <w:r w:rsidRPr="00035CE2">
              <w:t>Chain Saw</w:t>
            </w:r>
          </w:p>
        </w:tc>
        <w:tc>
          <w:tcPr>
            <w:tcW w:w="5040" w:type="dxa"/>
          </w:tcPr>
          <w:p w14:paraId="611A3246" w14:textId="77777777" w:rsidR="002F045D" w:rsidRPr="00035CE2" w:rsidRDefault="002F045D" w:rsidP="0073681E">
            <w:pPr>
              <w:pStyle w:val="TableText"/>
            </w:pPr>
            <w:r w:rsidRPr="00035CE2">
              <w:t>85</w:t>
            </w:r>
          </w:p>
        </w:tc>
      </w:tr>
      <w:tr w:rsidR="002F045D" w:rsidRPr="00DC3233" w14:paraId="24979EA2" w14:textId="77777777" w:rsidTr="0073681E">
        <w:trPr>
          <w:jc w:val="center"/>
        </w:trPr>
        <w:tc>
          <w:tcPr>
            <w:tcW w:w="5040" w:type="dxa"/>
          </w:tcPr>
          <w:p w14:paraId="4D1C388C" w14:textId="77777777" w:rsidR="002F045D" w:rsidRPr="00035CE2" w:rsidRDefault="002F045D" w:rsidP="0073681E">
            <w:pPr>
              <w:pStyle w:val="TableText"/>
            </w:pPr>
            <w:r w:rsidRPr="00035CE2">
              <w:t>Dozer</w:t>
            </w:r>
          </w:p>
        </w:tc>
        <w:tc>
          <w:tcPr>
            <w:tcW w:w="5040" w:type="dxa"/>
          </w:tcPr>
          <w:p w14:paraId="4EB22DE6" w14:textId="77777777" w:rsidR="002F045D" w:rsidRPr="00035CE2" w:rsidRDefault="002F045D" w:rsidP="0073681E">
            <w:pPr>
              <w:pStyle w:val="TableText"/>
            </w:pPr>
            <w:r w:rsidRPr="00035CE2">
              <w:t>85</w:t>
            </w:r>
          </w:p>
        </w:tc>
      </w:tr>
      <w:tr w:rsidR="002F045D" w:rsidRPr="00DC3233" w14:paraId="31B447BD" w14:textId="77777777" w:rsidTr="0073681E">
        <w:trPr>
          <w:jc w:val="center"/>
        </w:trPr>
        <w:tc>
          <w:tcPr>
            <w:tcW w:w="5040" w:type="dxa"/>
          </w:tcPr>
          <w:p w14:paraId="67AD6AAA" w14:textId="77777777" w:rsidR="002F045D" w:rsidRPr="00035CE2" w:rsidRDefault="002F045D" w:rsidP="0073681E">
            <w:pPr>
              <w:pStyle w:val="TableText"/>
            </w:pPr>
            <w:r w:rsidRPr="00035CE2">
              <w:t>Shears (on Backhoe)</w:t>
            </w:r>
          </w:p>
        </w:tc>
        <w:tc>
          <w:tcPr>
            <w:tcW w:w="5040" w:type="dxa"/>
          </w:tcPr>
          <w:p w14:paraId="02E1F658" w14:textId="77777777" w:rsidR="002F045D" w:rsidRPr="00035CE2" w:rsidRDefault="002F045D" w:rsidP="0073681E">
            <w:pPr>
              <w:pStyle w:val="TableText"/>
            </w:pPr>
            <w:r w:rsidRPr="00035CE2">
              <w:t>85</w:t>
            </w:r>
          </w:p>
        </w:tc>
      </w:tr>
      <w:tr w:rsidR="002F045D" w:rsidRPr="00DC3233" w14:paraId="03465C29" w14:textId="77777777" w:rsidTr="0073681E">
        <w:trPr>
          <w:jc w:val="center"/>
        </w:trPr>
        <w:tc>
          <w:tcPr>
            <w:tcW w:w="5040" w:type="dxa"/>
          </w:tcPr>
          <w:p w14:paraId="6C30F939" w14:textId="77777777" w:rsidR="002F045D" w:rsidRPr="00035CE2" w:rsidRDefault="002F045D" w:rsidP="0073681E">
            <w:pPr>
              <w:pStyle w:val="TableText"/>
            </w:pPr>
            <w:r w:rsidRPr="00035CE2">
              <w:t>Excavator</w:t>
            </w:r>
          </w:p>
        </w:tc>
        <w:tc>
          <w:tcPr>
            <w:tcW w:w="5040" w:type="dxa"/>
          </w:tcPr>
          <w:p w14:paraId="2DD5EF34" w14:textId="77777777" w:rsidR="002F045D" w:rsidRPr="00035CE2" w:rsidRDefault="002F045D" w:rsidP="0073681E">
            <w:pPr>
              <w:pStyle w:val="TableText"/>
            </w:pPr>
            <w:r w:rsidRPr="00035CE2">
              <w:t>85</w:t>
            </w:r>
          </w:p>
        </w:tc>
      </w:tr>
      <w:tr w:rsidR="002F045D" w:rsidRPr="00DC3233" w14:paraId="298576A4" w14:textId="77777777" w:rsidTr="0073681E">
        <w:trPr>
          <w:jc w:val="center"/>
        </w:trPr>
        <w:tc>
          <w:tcPr>
            <w:tcW w:w="5040" w:type="dxa"/>
          </w:tcPr>
          <w:p w14:paraId="3D4A4233" w14:textId="3D26A7F1" w:rsidR="002F045D" w:rsidRPr="00035CE2" w:rsidRDefault="00FC6060" w:rsidP="0073681E">
            <w:pPr>
              <w:pStyle w:val="TableText"/>
            </w:pPr>
            <w:r>
              <w:t xml:space="preserve">Flat Bed </w:t>
            </w:r>
            <w:r w:rsidR="002F045D" w:rsidRPr="00035CE2">
              <w:t>Trucks</w:t>
            </w:r>
          </w:p>
        </w:tc>
        <w:tc>
          <w:tcPr>
            <w:tcW w:w="5040" w:type="dxa"/>
          </w:tcPr>
          <w:p w14:paraId="64DA65EF" w14:textId="21FFA73B" w:rsidR="002F045D" w:rsidRPr="00035CE2" w:rsidRDefault="00FC6060" w:rsidP="0073681E">
            <w:pPr>
              <w:pStyle w:val="TableText"/>
            </w:pPr>
            <w:r>
              <w:t>84</w:t>
            </w:r>
          </w:p>
        </w:tc>
      </w:tr>
      <w:tr w:rsidR="002F045D" w:rsidRPr="00DC3233" w14:paraId="7DD39EEA" w14:textId="77777777" w:rsidTr="0073681E">
        <w:trPr>
          <w:jc w:val="center"/>
        </w:trPr>
        <w:tc>
          <w:tcPr>
            <w:tcW w:w="5040" w:type="dxa"/>
            <w:tcBorders>
              <w:bottom w:val="single" w:sz="4" w:space="0" w:color="auto"/>
            </w:tcBorders>
          </w:tcPr>
          <w:p w14:paraId="00252BE0" w14:textId="77777777" w:rsidR="002F045D" w:rsidRPr="00035CE2" w:rsidRDefault="002F045D" w:rsidP="0073681E">
            <w:pPr>
              <w:pStyle w:val="TableText"/>
            </w:pPr>
            <w:r w:rsidRPr="00035CE2">
              <w:t>Wood Chipper</w:t>
            </w:r>
          </w:p>
        </w:tc>
        <w:tc>
          <w:tcPr>
            <w:tcW w:w="5040" w:type="dxa"/>
            <w:tcBorders>
              <w:bottom w:val="single" w:sz="4" w:space="0" w:color="auto"/>
            </w:tcBorders>
          </w:tcPr>
          <w:p w14:paraId="2D10EFFE" w14:textId="77777777" w:rsidR="002F045D" w:rsidRPr="00035CE2" w:rsidRDefault="002F045D" w:rsidP="0073681E">
            <w:pPr>
              <w:pStyle w:val="TableText"/>
            </w:pPr>
            <w:r w:rsidRPr="00035CE2">
              <w:t>75</w:t>
            </w:r>
            <w:r w:rsidRPr="00035CE2">
              <w:rPr>
                <w:vertAlign w:val="superscript"/>
              </w:rPr>
              <w:t>2</w:t>
            </w:r>
          </w:p>
        </w:tc>
      </w:tr>
      <w:tr w:rsidR="002F045D" w:rsidRPr="00C733D4" w14:paraId="75A59E54" w14:textId="77777777" w:rsidTr="0073681E">
        <w:trPr>
          <w:jc w:val="center"/>
        </w:trPr>
        <w:tc>
          <w:tcPr>
            <w:tcW w:w="5040" w:type="dxa"/>
            <w:tcBorders>
              <w:bottom w:val="single" w:sz="4" w:space="0" w:color="auto"/>
            </w:tcBorders>
          </w:tcPr>
          <w:p w14:paraId="3A8475B6" w14:textId="77777777" w:rsidR="002F045D" w:rsidRPr="00035CE2" w:rsidRDefault="002F045D" w:rsidP="0073681E">
            <w:pPr>
              <w:pStyle w:val="TableText"/>
            </w:pPr>
            <w:r w:rsidRPr="00035CE2">
              <w:t>Helicopter</w:t>
            </w:r>
          </w:p>
        </w:tc>
        <w:tc>
          <w:tcPr>
            <w:tcW w:w="5040" w:type="dxa"/>
            <w:tcBorders>
              <w:bottom w:val="single" w:sz="4" w:space="0" w:color="auto"/>
            </w:tcBorders>
          </w:tcPr>
          <w:p w14:paraId="06A4A6F4" w14:textId="77777777" w:rsidR="002F045D" w:rsidRPr="00035CE2" w:rsidRDefault="002F045D" w:rsidP="0073681E">
            <w:pPr>
              <w:pStyle w:val="TableText"/>
            </w:pPr>
            <w:r w:rsidRPr="00035CE2">
              <w:t>87.9</w:t>
            </w:r>
          </w:p>
        </w:tc>
      </w:tr>
    </w:tbl>
    <w:p w14:paraId="5CE5B6E9" w14:textId="77777777" w:rsidR="0073681E" w:rsidRPr="00035CE2" w:rsidRDefault="0073681E" w:rsidP="0073681E">
      <w:pPr>
        <w:pStyle w:val="TableSource"/>
        <w:spacing w:after="60"/>
      </w:pPr>
      <w:r w:rsidRPr="00035CE2">
        <w:t xml:space="preserve">Notes: Assumes all equipment is fitted with a properly maintained and operational noise control device, per manufacturer specifications. Noise levels listed are manufacture-specified noise levels for each piece of equipment. </w:t>
      </w:r>
    </w:p>
    <w:p w14:paraId="73A6FA28" w14:textId="77777777" w:rsidR="0073681E" w:rsidRPr="00035CE2" w:rsidRDefault="0073681E" w:rsidP="0073681E">
      <w:pPr>
        <w:pStyle w:val="TableSource"/>
        <w:spacing w:after="60"/>
      </w:pPr>
      <w:r w:rsidRPr="00035CE2">
        <w:t xml:space="preserve">Sources: </w:t>
      </w:r>
    </w:p>
    <w:p w14:paraId="67D7D7DA" w14:textId="77777777" w:rsidR="0073681E" w:rsidRPr="00035CE2" w:rsidRDefault="0073681E" w:rsidP="0073681E">
      <w:pPr>
        <w:pStyle w:val="TableSource"/>
        <w:spacing w:after="60"/>
        <w:ind w:left="137" w:hanging="137"/>
      </w:pPr>
      <w:r w:rsidRPr="00035CE2">
        <w:rPr>
          <w:vertAlign w:val="superscript"/>
        </w:rPr>
        <w:t xml:space="preserve">1 </w:t>
      </w:r>
      <w:r w:rsidRPr="00035CE2">
        <w:tab/>
        <w:t>reference noise levels from FTA 2006 except where indicated otherwise</w:t>
      </w:r>
    </w:p>
    <w:p w14:paraId="5E80A1D5" w14:textId="77777777" w:rsidR="0073681E" w:rsidRPr="00035CE2" w:rsidRDefault="0073681E" w:rsidP="0073681E">
      <w:pPr>
        <w:pStyle w:val="TableSource"/>
        <w:ind w:left="137" w:hanging="137"/>
      </w:pPr>
      <w:r w:rsidRPr="00035CE2">
        <w:rPr>
          <w:vertAlign w:val="superscript"/>
        </w:rPr>
        <w:t xml:space="preserve">2 </w:t>
      </w:r>
      <w:r w:rsidRPr="00035CE2">
        <w:tab/>
      </w:r>
      <w:bookmarkStart w:id="102" w:name="_Hlk6254445"/>
      <w:r w:rsidRPr="00035CE2">
        <w:t>Berger et. al. 2010</w:t>
      </w:r>
      <w:bookmarkEnd w:id="102"/>
    </w:p>
    <w:p w14:paraId="39159A1E" w14:textId="3D3D9D83" w:rsidR="00F55A22" w:rsidRDefault="00151740" w:rsidP="00F85ABF">
      <w:pPr>
        <w:pStyle w:val="BodyText12ptbefore"/>
      </w:pPr>
      <w:r>
        <w:t xml:space="preserve">As shown in Table 3.13-5, noise levels generated by individual equipment </w:t>
      </w:r>
      <w:r w:rsidRPr="00A62D6B">
        <w:t>range from 7</w:t>
      </w:r>
      <w:r w:rsidR="00FC6060">
        <w:t>7</w:t>
      </w:r>
      <w:r w:rsidRPr="00A62D6B">
        <w:t xml:space="preserve"> to </w:t>
      </w:r>
      <w:r>
        <w:t>8</w:t>
      </w:r>
      <w:r w:rsidR="00FC6060">
        <w:t>7.9</w:t>
      </w:r>
      <w:r>
        <w:t xml:space="preserve"> </w:t>
      </w:r>
      <w:r w:rsidRPr="00A62D6B">
        <w:t>dB at 50 feet</w:t>
      </w:r>
      <w:r w:rsidR="003D132F">
        <w:t xml:space="preserve"> from the noise source</w:t>
      </w:r>
      <w:r>
        <w:t xml:space="preserve">. Though multiple pieces of equipment would be operated simultaneously to </w:t>
      </w:r>
      <w:r w:rsidR="003D132F">
        <w:t>implement</w:t>
      </w:r>
      <w:r>
        <w:t xml:space="preserve"> a treatment they</w:t>
      </w:r>
      <w:r w:rsidR="003D132F">
        <w:t xml:space="preserve"> would typically</w:t>
      </w:r>
      <w:r w:rsidR="00E97E9E">
        <w:t xml:space="preserve"> be spread out (i.e., usually more than 100 feet apart) rather than operating next to each other. This is particularly true of larger, heavy-duty off-road equipment such as masticators, chippers, bulldozers, skid steers, and excavators. This helps ensure worker safety </w:t>
      </w:r>
      <w:r w:rsidR="003D132F">
        <w:t>and maximizes</w:t>
      </w:r>
      <w:r w:rsidR="00A92A15">
        <w:t xml:space="preserve"> efficiency. </w:t>
      </w:r>
    </w:p>
    <w:p w14:paraId="6743A6FF" w14:textId="4974AAB0" w:rsidR="002B51C5" w:rsidRPr="003222E5" w:rsidRDefault="00F55A22" w:rsidP="00A82BED">
      <w:pPr>
        <w:pStyle w:val="BodyText"/>
      </w:pPr>
      <w:r w:rsidRPr="00D01F00">
        <w:t>Although all</w:t>
      </w:r>
      <w:r>
        <w:t xml:space="preserve"> </w:t>
      </w:r>
      <w:r w:rsidRPr="00D01F00">
        <w:t xml:space="preserve">pieces of heavy equipment could operate simultaneously </w:t>
      </w:r>
      <w:r>
        <w:t>for vegetation treatment activities under CalVTP</w:t>
      </w:r>
      <w:r w:rsidRPr="00D01F00">
        <w:t xml:space="preserve">, because of the size of the </w:t>
      </w:r>
      <w:r>
        <w:t>vegetation treatment sites</w:t>
      </w:r>
      <w:r w:rsidRPr="00D01F00">
        <w:t xml:space="preserve"> and the spatial operational constraints of heavy equipment (only so many could operate in close proximity to one another because of function and size) it is unlikely that all pieces of equipment would operate in close proximity to each other near the boundaries of the project site.</w:t>
      </w:r>
      <w:r>
        <w:t xml:space="preserve"> </w:t>
      </w:r>
      <w:r w:rsidR="00A62D6B">
        <w:t xml:space="preserve">Therefore, it is unlikely that </w:t>
      </w:r>
      <w:r w:rsidR="003D132F">
        <w:t xml:space="preserve">noise from </w:t>
      </w:r>
      <w:r w:rsidR="00A92A15">
        <w:t xml:space="preserve">multiple pieces of </w:t>
      </w:r>
      <w:r w:rsidR="00A62D6B">
        <w:t xml:space="preserve">equipment would </w:t>
      </w:r>
      <w:r w:rsidR="00151740">
        <w:t>combine</w:t>
      </w:r>
      <w:r w:rsidR="003D132F">
        <w:t xml:space="preserve"> to affect any </w:t>
      </w:r>
      <w:r w:rsidR="00151740">
        <w:t>noise-sensitive receptor for an extended period</w:t>
      </w:r>
      <w:r w:rsidR="00A62D6B">
        <w:t xml:space="preserve">. However, </w:t>
      </w:r>
      <w:r w:rsidR="00374CFD">
        <w:t>this analysis</w:t>
      </w:r>
      <w:r w:rsidR="00A62D6B" w:rsidRPr="00580953">
        <w:t xml:space="preserve"> conservatively assume</w:t>
      </w:r>
      <w:r w:rsidR="00374CFD">
        <w:t>s</w:t>
      </w:r>
      <w:r w:rsidR="00A62D6B" w:rsidRPr="00580953">
        <w:t xml:space="preserve"> that </w:t>
      </w:r>
      <w:r w:rsidR="00725664">
        <w:t xml:space="preserve">four </w:t>
      </w:r>
      <w:r w:rsidR="00A62D6B" w:rsidRPr="00580953">
        <w:t xml:space="preserve">of the highest noise-generating pieces of equipment could operate simultaneously in close proximity to each other near the boundaries of the </w:t>
      </w:r>
      <w:r w:rsidR="00A62D6B">
        <w:t>treatment site (i.e., locations nearest to where noise-sensitive receptors could be located)</w:t>
      </w:r>
      <w:r w:rsidR="00A62D6B" w:rsidRPr="00580953">
        <w:t>.</w:t>
      </w:r>
      <w:r w:rsidR="00A62D6B">
        <w:t xml:space="preserve"> </w:t>
      </w:r>
      <w:r w:rsidR="003222E5">
        <w:t>This assumption is used because t</w:t>
      </w:r>
      <w:r w:rsidR="003222E5" w:rsidRPr="003222E5">
        <w:t>he estimated combined noise level for four pieces of equipment would not be noticeable higher if a fifth piece of equipment were also operating 100 feet from the nearest affected receptor. This is the case because noise levels from point sources attenuates at a rate of 7.5 dB per doubling of distance and because the logarithmic nature of adding noise levels.</w:t>
      </w:r>
    </w:p>
    <w:p w14:paraId="26A49A0C" w14:textId="380E26D1" w:rsidR="00915569" w:rsidRDefault="00915569" w:rsidP="00A82BED">
      <w:pPr>
        <w:pStyle w:val="BodyText"/>
      </w:pPr>
      <w:r w:rsidRPr="00915569">
        <w:t xml:space="preserve">Table 3.13-6 shows the combined noise level at 50 feet </w:t>
      </w:r>
      <w:r w:rsidR="00374CFD">
        <w:t xml:space="preserve">from the source </w:t>
      </w:r>
      <w:r w:rsidRPr="00915569">
        <w:t xml:space="preserve">for each </w:t>
      </w:r>
      <w:r w:rsidR="00374CFD">
        <w:t xml:space="preserve">noise-generating </w:t>
      </w:r>
      <w:r w:rsidRPr="00915569">
        <w:t xml:space="preserve">treatment </w:t>
      </w:r>
      <w:r w:rsidR="00374CFD">
        <w:t xml:space="preserve">activity, assuming four of </w:t>
      </w:r>
      <w:r w:rsidR="00FC6060">
        <w:t>the</w:t>
      </w:r>
      <w:r w:rsidR="006B276F" w:rsidRPr="00915569">
        <w:t xml:space="preserve"> loudest pieces of equipment listed in Table 3.1</w:t>
      </w:r>
      <w:r w:rsidR="00B70B9F">
        <w:t>3</w:t>
      </w:r>
      <w:r w:rsidR="006B276F" w:rsidRPr="00915569">
        <w:t>-</w:t>
      </w:r>
      <w:r w:rsidR="00FC6060">
        <w:t xml:space="preserve">4 </w:t>
      </w:r>
      <w:r w:rsidR="006B276F" w:rsidRPr="00915569">
        <w:t xml:space="preserve">are operated next to each other. See </w:t>
      </w:r>
      <w:r w:rsidR="006B276F" w:rsidRPr="00763E84">
        <w:t xml:space="preserve">Appendix </w:t>
      </w:r>
      <w:r w:rsidR="00374CFD" w:rsidRPr="00763E84">
        <w:t>NOI-1</w:t>
      </w:r>
      <w:r w:rsidR="006B276F" w:rsidRPr="00763E84">
        <w:t xml:space="preserve"> for </w:t>
      </w:r>
      <w:r w:rsidR="00917BB4" w:rsidRPr="00763E84">
        <w:t>the specific</w:t>
      </w:r>
      <w:r w:rsidR="00917BB4">
        <w:t xml:space="preserve"> equipment assumed to be operated </w:t>
      </w:r>
      <w:r w:rsidR="00763E84">
        <w:t>under</w:t>
      </w:r>
      <w:r w:rsidR="00917BB4">
        <w:t xml:space="preserve"> each treatment activit</w:t>
      </w:r>
      <w:r w:rsidR="00763E84">
        <w:t>y</w:t>
      </w:r>
      <w:r w:rsidR="00917BB4">
        <w:t xml:space="preserve"> and the associated </w:t>
      </w:r>
      <w:r w:rsidR="006B276F" w:rsidRPr="00915569">
        <w:t xml:space="preserve">noise calculations. </w:t>
      </w:r>
    </w:p>
    <w:p w14:paraId="644F9074" w14:textId="77777777" w:rsidR="0073681E" w:rsidRPr="00835B81" w:rsidRDefault="0073681E" w:rsidP="006E012E">
      <w:pPr>
        <w:pStyle w:val="TableHeader"/>
      </w:pPr>
      <w:bookmarkStart w:id="103" w:name="_Toc500429362"/>
      <w:bookmarkStart w:id="104" w:name="_Toc503978165"/>
      <w:bookmarkStart w:id="105" w:name="_Toc23837262"/>
      <w:r w:rsidRPr="008E439C">
        <w:t>Table 3.13-6</w:t>
      </w:r>
      <w:r>
        <w:tab/>
      </w:r>
      <w:r w:rsidRPr="008E439C">
        <w:t>Noise Levels</w:t>
      </w:r>
      <w:r w:rsidRPr="00835B81">
        <w:t xml:space="preserve"> from </w:t>
      </w:r>
      <w:r>
        <w:t>Treatment</w:t>
      </w:r>
      <w:r w:rsidRPr="00835B81">
        <w:t xml:space="preserve"> Activities</w:t>
      </w:r>
      <w:bookmarkEnd w:id="103"/>
      <w:bookmarkEnd w:id="104"/>
      <w:bookmarkEnd w:id="105"/>
    </w:p>
    <w:tbl>
      <w:tblPr>
        <w:tblW w:w="10080" w:type="dxa"/>
        <w:jc w:val="center"/>
        <w:tblBorders>
          <w:insideH w:val="single" w:sz="4" w:space="0" w:color="auto"/>
          <w:insideV w:val="single" w:sz="4" w:space="0" w:color="auto"/>
        </w:tblBorders>
        <w:tblLayout w:type="fixed"/>
        <w:tblCellMar>
          <w:top w:w="43" w:type="dxa"/>
          <w:left w:w="115" w:type="dxa"/>
          <w:bottom w:w="29" w:type="dxa"/>
          <w:right w:w="115" w:type="dxa"/>
        </w:tblCellMar>
        <w:tblLook w:val="01E0" w:firstRow="1" w:lastRow="1" w:firstColumn="1" w:lastColumn="1" w:noHBand="0" w:noVBand="0"/>
      </w:tblPr>
      <w:tblGrid>
        <w:gridCol w:w="3420"/>
        <w:gridCol w:w="3195"/>
        <w:gridCol w:w="3465"/>
      </w:tblGrid>
      <w:tr w:rsidR="00B70B9F" w:rsidRPr="00835B81" w14:paraId="2B9C6F6A" w14:textId="77777777" w:rsidTr="007F3C0E">
        <w:trPr>
          <w:tblHeader/>
          <w:jc w:val="center"/>
        </w:trPr>
        <w:tc>
          <w:tcPr>
            <w:tcW w:w="3420" w:type="dxa"/>
            <w:tcBorders>
              <w:top w:val="single" w:sz="4" w:space="0" w:color="auto"/>
            </w:tcBorders>
            <w:shd w:val="clear" w:color="auto" w:fill="D9D9D9" w:themeFill="background1" w:themeFillShade="D9"/>
            <w:vAlign w:val="center"/>
          </w:tcPr>
          <w:p w14:paraId="20FF0AFE" w14:textId="3911A0D6" w:rsidR="00B70B9F" w:rsidRPr="00835B81" w:rsidRDefault="00B70B9F" w:rsidP="006E012E">
            <w:pPr>
              <w:pStyle w:val="TableColumn"/>
              <w:keepNext/>
            </w:pPr>
            <w:r>
              <w:t>Treatment</w:t>
            </w:r>
            <w:r w:rsidRPr="00835B81">
              <w:t xml:space="preserve"> Activity</w:t>
            </w:r>
          </w:p>
        </w:tc>
        <w:tc>
          <w:tcPr>
            <w:tcW w:w="3195" w:type="dxa"/>
            <w:tcBorders>
              <w:top w:val="single" w:sz="4" w:space="0" w:color="auto"/>
            </w:tcBorders>
            <w:shd w:val="clear" w:color="auto" w:fill="D9D9D9" w:themeFill="background1" w:themeFillShade="D9"/>
            <w:vAlign w:val="center"/>
          </w:tcPr>
          <w:p w14:paraId="73557448" w14:textId="5F8F9B42" w:rsidR="00B70B9F" w:rsidRPr="00835B81" w:rsidRDefault="00B70B9F" w:rsidP="006E012E">
            <w:pPr>
              <w:pStyle w:val="TableColumn"/>
            </w:pPr>
            <w:r w:rsidRPr="00835B81">
              <w:t>Noise Level (</w:t>
            </w:r>
            <w:proofErr w:type="spellStart"/>
            <w:r w:rsidRPr="00835B81">
              <w:t>L</w:t>
            </w:r>
            <w:r w:rsidRPr="00957C58">
              <w:rPr>
                <w:vertAlign w:val="subscript"/>
              </w:rPr>
              <w:t>eq</w:t>
            </w:r>
            <w:proofErr w:type="spellEnd"/>
            <w:r w:rsidRPr="00835B81">
              <w:t xml:space="preserve"> dB) </w:t>
            </w:r>
            <w:r w:rsidR="003E3426">
              <w:t>at</w:t>
            </w:r>
            <w:r w:rsidRPr="00835B81">
              <w:t xml:space="preserve"> 50 feet</w:t>
            </w:r>
          </w:p>
        </w:tc>
        <w:tc>
          <w:tcPr>
            <w:tcW w:w="3465" w:type="dxa"/>
            <w:tcBorders>
              <w:top w:val="single" w:sz="4" w:space="0" w:color="auto"/>
            </w:tcBorders>
            <w:shd w:val="clear" w:color="auto" w:fill="D9D9D9" w:themeFill="background1" w:themeFillShade="D9"/>
            <w:vAlign w:val="center"/>
          </w:tcPr>
          <w:p w14:paraId="305AEF55" w14:textId="23440C25" w:rsidR="00B70B9F" w:rsidRPr="00835B81" w:rsidRDefault="00B70B9F" w:rsidP="006E012E">
            <w:pPr>
              <w:pStyle w:val="TableColumn"/>
            </w:pPr>
            <w:r w:rsidRPr="00835B81">
              <w:t>Noise Level (</w:t>
            </w:r>
            <w:proofErr w:type="spellStart"/>
            <w:r w:rsidRPr="00835B81">
              <w:t>L</w:t>
            </w:r>
            <w:r w:rsidRPr="00957C58">
              <w:rPr>
                <w:vertAlign w:val="subscript"/>
              </w:rPr>
              <w:t>max</w:t>
            </w:r>
            <w:proofErr w:type="spellEnd"/>
            <w:r w:rsidRPr="00835B81">
              <w:t xml:space="preserve"> dB) </w:t>
            </w:r>
            <w:r w:rsidR="003E3426">
              <w:t>at</w:t>
            </w:r>
            <w:r w:rsidRPr="00835B81">
              <w:t xml:space="preserve"> 50 feet</w:t>
            </w:r>
          </w:p>
        </w:tc>
      </w:tr>
      <w:tr w:rsidR="00B70B9F" w:rsidRPr="005E3A7C" w14:paraId="744F95F5" w14:textId="77777777" w:rsidTr="007F3C0E">
        <w:trPr>
          <w:jc w:val="center"/>
        </w:trPr>
        <w:tc>
          <w:tcPr>
            <w:tcW w:w="3420" w:type="dxa"/>
          </w:tcPr>
          <w:p w14:paraId="2B6AFFB0" w14:textId="6F18F1DB" w:rsidR="00B70B9F" w:rsidRPr="005E3A7C" w:rsidRDefault="00B70B9F" w:rsidP="006E012E">
            <w:pPr>
              <w:pStyle w:val="TableTextL"/>
              <w:keepNext/>
            </w:pPr>
            <w:r>
              <w:t>Prescribed Burn</w:t>
            </w:r>
            <w:r w:rsidR="003E3426">
              <w:t xml:space="preserve">ing (including </w:t>
            </w:r>
            <w:proofErr w:type="spellStart"/>
            <w:r w:rsidR="003E3426">
              <w:t>heliotorching</w:t>
            </w:r>
            <w:proofErr w:type="spellEnd"/>
            <w:r w:rsidR="003E3426">
              <w:t>)</w:t>
            </w:r>
          </w:p>
        </w:tc>
        <w:tc>
          <w:tcPr>
            <w:tcW w:w="3195" w:type="dxa"/>
          </w:tcPr>
          <w:p w14:paraId="42DFD608" w14:textId="4AFC737B" w:rsidR="00B70B9F" w:rsidRPr="00F85ABF" w:rsidRDefault="007F3C0E" w:rsidP="00F85ABF">
            <w:pPr>
              <w:pStyle w:val="TableText"/>
            </w:pPr>
            <w:r w:rsidRPr="00F85ABF">
              <w:t>8</w:t>
            </w:r>
            <w:r w:rsidR="00725664" w:rsidRPr="00F85ABF">
              <w:t>6</w:t>
            </w:r>
            <w:r w:rsidRPr="00F85ABF">
              <w:t>.8/</w:t>
            </w:r>
            <w:r w:rsidR="00D06D89" w:rsidRPr="00F85ABF">
              <w:t>89.9</w:t>
            </w:r>
          </w:p>
        </w:tc>
        <w:tc>
          <w:tcPr>
            <w:tcW w:w="3465" w:type="dxa"/>
          </w:tcPr>
          <w:p w14:paraId="2022DB9B" w14:textId="73EE573E" w:rsidR="00B70B9F" w:rsidRPr="00F85ABF" w:rsidRDefault="00725664" w:rsidP="00F85ABF">
            <w:pPr>
              <w:pStyle w:val="TableText"/>
            </w:pPr>
            <w:r w:rsidRPr="00F85ABF">
              <w:t>90</w:t>
            </w:r>
            <w:r w:rsidR="007F3C0E" w:rsidRPr="00F85ABF">
              <w:t>.8/</w:t>
            </w:r>
            <w:r w:rsidR="00D06D89" w:rsidRPr="00F85ABF">
              <w:t>91.8</w:t>
            </w:r>
          </w:p>
        </w:tc>
      </w:tr>
      <w:tr w:rsidR="00B70B9F" w:rsidRPr="005E3A7C" w14:paraId="75B58D8E" w14:textId="77777777" w:rsidTr="0073681E">
        <w:trPr>
          <w:jc w:val="center"/>
        </w:trPr>
        <w:tc>
          <w:tcPr>
            <w:tcW w:w="3420" w:type="dxa"/>
            <w:tcBorders>
              <w:bottom w:val="single" w:sz="4" w:space="0" w:color="auto"/>
            </w:tcBorders>
          </w:tcPr>
          <w:p w14:paraId="2C38D13D" w14:textId="38EBEA8A" w:rsidR="00B70B9F" w:rsidRPr="005E3A7C" w:rsidRDefault="007F3C0E" w:rsidP="006E012E">
            <w:pPr>
              <w:pStyle w:val="TableTextL"/>
            </w:pPr>
            <w:r>
              <w:t>Mechanical Vegetation Treatment</w:t>
            </w:r>
          </w:p>
        </w:tc>
        <w:tc>
          <w:tcPr>
            <w:tcW w:w="3195" w:type="dxa"/>
            <w:tcBorders>
              <w:bottom w:val="single" w:sz="4" w:space="0" w:color="auto"/>
            </w:tcBorders>
          </w:tcPr>
          <w:p w14:paraId="1ABFE71B" w14:textId="5F10C100" w:rsidR="00B70B9F" w:rsidRPr="00F85ABF" w:rsidRDefault="00725664" w:rsidP="00F85ABF">
            <w:pPr>
              <w:pStyle w:val="TableText"/>
            </w:pPr>
            <w:r w:rsidRPr="00F85ABF">
              <w:t>87.0</w:t>
            </w:r>
          </w:p>
        </w:tc>
        <w:tc>
          <w:tcPr>
            <w:tcW w:w="3465" w:type="dxa"/>
            <w:tcBorders>
              <w:bottom w:val="single" w:sz="4" w:space="0" w:color="auto"/>
            </w:tcBorders>
          </w:tcPr>
          <w:p w14:paraId="4F11B765" w14:textId="42DA7223" w:rsidR="00B70B9F" w:rsidRPr="00F85ABF" w:rsidRDefault="00725664" w:rsidP="00F85ABF">
            <w:pPr>
              <w:pStyle w:val="TableText"/>
            </w:pPr>
            <w:r w:rsidRPr="00F85ABF">
              <w:t>91.0</w:t>
            </w:r>
          </w:p>
        </w:tc>
      </w:tr>
      <w:tr w:rsidR="00B70B9F" w:rsidRPr="005E3A7C" w14:paraId="4E49F337" w14:textId="77777777" w:rsidTr="0073681E">
        <w:trPr>
          <w:jc w:val="center"/>
        </w:trPr>
        <w:tc>
          <w:tcPr>
            <w:tcW w:w="3420" w:type="dxa"/>
            <w:tcBorders>
              <w:top w:val="single" w:sz="4" w:space="0" w:color="auto"/>
              <w:bottom w:val="single" w:sz="4" w:space="0" w:color="auto"/>
            </w:tcBorders>
          </w:tcPr>
          <w:p w14:paraId="5104880E" w14:textId="14D8F9D4" w:rsidR="00B70B9F" w:rsidRDefault="007F3C0E" w:rsidP="006E012E">
            <w:pPr>
              <w:pStyle w:val="TableText"/>
              <w:jc w:val="left"/>
            </w:pPr>
            <w:r>
              <w:t>Manual Vegetation Treatment</w:t>
            </w:r>
          </w:p>
        </w:tc>
        <w:tc>
          <w:tcPr>
            <w:tcW w:w="3195" w:type="dxa"/>
            <w:tcBorders>
              <w:top w:val="single" w:sz="4" w:space="0" w:color="auto"/>
              <w:bottom w:val="single" w:sz="4" w:space="0" w:color="auto"/>
            </w:tcBorders>
          </w:tcPr>
          <w:p w14:paraId="35E46A83" w14:textId="497A701A" w:rsidR="00B70B9F" w:rsidRPr="00F85ABF" w:rsidRDefault="00725664" w:rsidP="00F85ABF">
            <w:pPr>
              <w:pStyle w:val="TableText"/>
            </w:pPr>
            <w:r w:rsidRPr="00F85ABF">
              <w:t>87.0</w:t>
            </w:r>
          </w:p>
        </w:tc>
        <w:tc>
          <w:tcPr>
            <w:tcW w:w="3465" w:type="dxa"/>
            <w:tcBorders>
              <w:top w:val="single" w:sz="4" w:space="0" w:color="auto"/>
              <w:bottom w:val="single" w:sz="4" w:space="0" w:color="auto"/>
            </w:tcBorders>
          </w:tcPr>
          <w:p w14:paraId="16D6ECDF" w14:textId="481AB8A8" w:rsidR="00B70B9F" w:rsidRPr="00F85ABF" w:rsidRDefault="00725664" w:rsidP="00F85ABF">
            <w:pPr>
              <w:pStyle w:val="TableText"/>
            </w:pPr>
            <w:r w:rsidRPr="00F85ABF">
              <w:t>91.0</w:t>
            </w:r>
          </w:p>
        </w:tc>
      </w:tr>
    </w:tbl>
    <w:p w14:paraId="17C8801D" w14:textId="77777777" w:rsidR="0073681E" w:rsidRDefault="0073681E" w:rsidP="00A82BED">
      <w:pPr>
        <w:pStyle w:val="TableSource"/>
        <w:spacing w:after="60"/>
      </w:pPr>
      <w:r w:rsidRPr="005E3A7C">
        <w:t>Notes:</w:t>
      </w:r>
      <w:r>
        <w:t xml:space="preserve"> dB = decibels; </w:t>
      </w:r>
      <w:proofErr w:type="spellStart"/>
      <w:r>
        <w:t>L</w:t>
      </w:r>
      <w:r w:rsidRPr="00B27441">
        <w:rPr>
          <w:vertAlign w:val="subscript"/>
        </w:rPr>
        <w:t>eq</w:t>
      </w:r>
      <w:proofErr w:type="spellEnd"/>
      <w:r>
        <w:t xml:space="preserve"> = </w:t>
      </w:r>
      <w:r w:rsidRPr="00B27441">
        <w:t>Equivalent Continuous Sound Level</w:t>
      </w:r>
    </w:p>
    <w:p w14:paraId="01E79468" w14:textId="77777777" w:rsidR="0073681E" w:rsidRPr="005E3A7C" w:rsidRDefault="0073681E" w:rsidP="00A82BED">
      <w:pPr>
        <w:pStyle w:val="TableSource"/>
        <w:spacing w:after="60"/>
      </w:pPr>
      <w:r w:rsidRPr="005E3A7C">
        <w:t>Assumes all equipment is fitted with a properly maintained and operational noise control device, per manufacturer specifications. Noise levels listed are manufacture-specified noise levels for each piece of heavy construction equipment.</w:t>
      </w:r>
    </w:p>
    <w:p w14:paraId="2C351247" w14:textId="77777777" w:rsidR="0073681E" w:rsidRPr="005E3A7C" w:rsidRDefault="0073681E" w:rsidP="006E012E">
      <w:pPr>
        <w:pStyle w:val="TableSource"/>
      </w:pPr>
      <w:r w:rsidRPr="005E3A7C">
        <w:t>Source: FTA 2006</w:t>
      </w:r>
    </w:p>
    <w:p w14:paraId="5F0B046D" w14:textId="32FAFD9E" w:rsidR="00915569" w:rsidRPr="003C09B6" w:rsidRDefault="003C09B6" w:rsidP="00A82BED">
      <w:pPr>
        <w:pStyle w:val="BodyText"/>
      </w:pPr>
      <w:r w:rsidRPr="003C09B6">
        <w:lastRenderedPageBreak/>
        <w:t xml:space="preserve">As </w:t>
      </w:r>
      <w:r w:rsidRPr="008E439C">
        <w:t>shown in Table 3.13-6, the</w:t>
      </w:r>
      <w:r w:rsidRPr="003C09B6">
        <w:t xml:space="preserve"> </w:t>
      </w:r>
      <w:r w:rsidR="00D06D89" w:rsidRPr="00580953">
        <w:t>highest noise-generating pieces of equipment</w:t>
      </w:r>
      <w:r w:rsidR="00D06D89">
        <w:t xml:space="preserve"> </w:t>
      </w:r>
      <w:r>
        <w:t>used for each of the treatment activities produce similar n</w:t>
      </w:r>
      <w:r w:rsidRPr="00A62D6B">
        <w:t>oise levels</w:t>
      </w:r>
      <w:r>
        <w:t>; and thus, the</w:t>
      </w:r>
      <w:r w:rsidR="00D06D89">
        <w:t xml:space="preserve"> combined noise levels of the</w:t>
      </w:r>
      <w:r>
        <w:t xml:space="preserve"> </w:t>
      </w:r>
      <w:r w:rsidR="00D06D89">
        <w:t xml:space="preserve">four </w:t>
      </w:r>
      <w:r w:rsidR="00D06D89" w:rsidRPr="00580953">
        <w:t>of the highest noise-generating pieces of equipment</w:t>
      </w:r>
      <w:r w:rsidR="00D06D89">
        <w:t xml:space="preserve"> for each treatment activity are similar. </w:t>
      </w:r>
    </w:p>
    <w:p w14:paraId="1218C10E" w14:textId="4087C2D5" w:rsidR="00754BD5" w:rsidRPr="00E03CBE" w:rsidRDefault="003E3426" w:rsidP="00A82BED">
      <w:pPr>
        <w:pStyle w:val="BodyText"/>
      </w:pPr>
      <w:r>
        <w:t>I</w:t>
      </w:r>
      <w:r w:rsidR="00C26B0D" w:rsidRPr="00C26B0D">
        <w:t xml:space="preserve">n developed areas </w:t>
      </w:r>
      <w:r w:rsidR="003306A8" w:rsidRPr="00C26B0D">
        <w:t>the likelihood is high that noise-sensitive receptors could be located in close proximity to vegetation treatments</w:t>
      </w:r>
      <w:r w:rsidR="00C26B0D">
        <w:t>. Additionally,</w:t>
      </w:r>
      <w:r w:rsidR="00C26B0D" w:rsidRPr="00C26B0D">
        <w:t xml:space="preserve"> </w:t>
      </w:r>
      <w:r w:rsidR="00C26B0D">
        <w:t xml:space="preserve">although less likely, </w:t>
      </w:r>
      <w:r w:rsidR="00C26B0D" w:rsidRPr="00C26B0D">
        <w:t>noise-sensitive receptors could be located in close proximity to vegetation treatments in undeveloped areas</w:t>
      </w:r>
      <w:r w:rsidR="00C26B0D">
        <w:t xml:space="preserve"> as well</w:t>
      </w:r>
      <w:r w:rsidR="00C26B0D" w:rsidRPr="00C26B0D">
        <w:t>.</w:t>
      </w:r>
      <w:r w:rsidR="00C26B0D">
        <w:t xml:space="preserve"> </w:t>
      </w:r>
      <w:r w:rsidR="00790DB0">
        <w:t xml:space="preserve">The </w:t>
      </w:r>
      <w:r w:rsidR="009B4B33">
        <w:t xml:space="preserve">specific </w:t>
      </w:r>
      <w:r w:rsidR="00790DB0">
        <w:t xml:space="preserve">location of any such noise-sensitive receptors relative to </w:t>
      </w:r>
      <w:r>
        <w:t xml:space="preserve">later </w:t>
      </w:r>
      <w:r w:rsidR="00790DB0">
        <w:t>treatment activities are unknow</w:t>
      </w:r>
      <w:r w:rsidR="00754BD5">
        <w:t>n</w:t>
      </w:r>
      <w:r w:rsidR="00790DB0">
        <w:t xml:space="preserve"> at this </w:t>
      </w:r>
      <w:r w:rsidR="00790DB0" w:rsidRPr="00754BD5">
        <w:t>time</w:t>
      </w:r>
      <w:r w:rsidR="009B4B33">
        <w:t>, because neither has been identified</w:t>
      </w:r>
      <w:r w:rsidR="00790DB0" w:rsidRPr="00754BD5">
        <w:t xml:space="preserve">. </w:t>
      </w:r>
      <w:r w:rsidR="00AD7984">
        <w:t>I</w:t>
      </w:r>
      <w:r w:rsidR="009B4B33">
        <w:t xml:space="preserve">t is assumed that </w:t>
      </w:r>
      <w:r w:rsidR="00754BD5" w:rsidRPr="00754BD5">
        <w:t xml:space="preserve">noise-sensitive receptors near treatment activity sites could experience elevated noise levels. </w:t>
      </w:r>
      <w:r w:rsidR="00AD7984">
        <w:t>However, a</w:t>
      </w:r>
      <w:r w:rsidR="00754BD5" w:rsidRPr="00754BD5">
        <w:t xml:space="preserve">ny increase in </w:t>
      </w:r>
      <w:r w:rsidR="002055A4">
        <w:t xml:space="preserve">ambient </w:t>
      </w:r>
      <w:r w:rsidR="00754BD5" w:rsidRPr="00754BD5">
        <w:t xml:space="preserve">noise </w:t>
      </w:r>
      <w:r w:rsidR="002055A4">
        <w:t xml:space="preserve">levels </w:t>
      </w:r>
      <w:r w:rsidR="00754BD5" w:rsidRPr="00754BD5">
        <w:t>exposure at nearby receptors would be temporary and periodic.</w:t>
      </w:r>
      <w:r w:rsidR="00754BD5" w:rsidRPr="00DC3233">
        <w:t xml:space="preserve"> </w:t>
      </w:r>
    </w:p>
    <w:p w14:paraId="74CE1771" w14:textId="77777777" w:rsidR="00A62D6B" w:rsidRPr="00483B26" w:rsidRDefault="00A62D6B" w:rsidP="00A62D6B">
      <w:pPr>
        <w:pStyle w:val="Heading6"/>
      </w:pPr>
      <w:r w:rsidRPr="00483B26">
        <w:t>Helicopter Noise</w:t>
      </w:r>
    </w:p>
    <w:p w14:paraId="5962350A" w14:textId="4F0F626F" w:rsidR="00591213" w:rsidRDefault="00A62D6B" w:rsidP="00A82BED">
      <w:pPr>
        <w:pStyle w:val="BodyText"/>
      </w:pPr>
      <w:r w:rsidRPr="00483B26">
        <w:t>In addition to typical land</w:t>
      </w:r>
      <w:r w:rsidR="00790DB0" w:rsidRPr="00483B26">
        <w:t>-based</w:t>
      </w:r>
      <w:r w:rsidRPr="00483B26">
        <w:t xml:space="preserve"> equipment</w:t>
      </w:r>
      <w:r w:rsidR="00790DB0" w:rsidRPr="00483B26">
        <w:t xml:space="preserve"> used during vegetation treatment activities</w:t>
      </w:r>
      <w:r w:rsidRPr="00483B26">
        <w:t xml:space="preserve">, </w:t>
      </w:r>
      <w:r w:rsidR="00EA2667">
        <w:t xml:space="preserve">a </w:t>
      </w:r>
      <w:r w:rsidR="00483B26" w:rsidRPr="00960500">
        <w:t>helicopter</w:t>
      </w:r>
      <w:r w:rsidR="00483B26">
        <w:t xml:space="preserve"> with a </w:t>
      </w:r>
      <w:proofErr w:type="spellStart"/>
      <w:r w:rsidR="00483B26" w:rsidRPr="00960500">
        <w:t>helitorch</w:t>
      </w:r>
      <w:proofErr w:type="spellEnd"/>
      <w:r w:rsidR="00483B26">
        <w:t xml:space="preserve"> may be used when a large area needs to be burned </w:t>
      </w:r>
      <w:r w:rsidR="00483B26" w:rsidRPr="00EA2667">
        <w:t xml:space="preserve">or an area </w:t>
      </w:r>
      <w:r w:rsidR="00D12B1E">
        <w:t>is not easily accessible by ground equipment</w:t>
      </w:r>
      <w:r w:rsidR="00483B26" w:rsidRPr="00EA2667">
        <w:t>.</w:t>
      </w:r>
      <w:r w:rsidR="00947C9D" w:rsidRPr="00EA2667">
        <w:t xml:space="preserve"> </w:t>
      </w:r>
      <w:r w:rsidR="002055A4">
        <w:t>D</w:t>
      </w:r>
      <w:r w:rsidR="00D12B1E">
        <w:t>ue to</w:t>
      </w:r>
      <w:r w:rsidR="00591213">
        <w:t xml:space="preserve"> the</w:t>
      </w:r>
      <w:r w:rsidR="002055A4">
        <w:t xml:space="preserve"> inherently</w:t>
      </w:r>
      <w:r w:rsidR="00591213">
        <w:t xml:space="preserve"> remote nature of the treatable landscape </w:t>
      </w:r>
      <w:r w:rsidR="002055A4">
        <w:t xml:space="preserve">within </w:t>
      </w:r>
      <w:r w:rsidR="00591213">
        <w:t xml:space="preserve">which prescribed burning </w:t>
      </w:r>
      <w:r w:rsidR="002055A4">
        <w:t xml:space="preserve">by </w:t>
      </w:r>
      <w:proofErr w:type="spellStart"/>
      <w:r w:rsidR="002055A4">
        <w:t>helitorch</w:t>
      </w:r>
      <w:proofErr w:type="spellEnd"/>
      <w:r w:rsidR="002055A4">
        <w:t xml:space="preserve"> </w:t>
      </w:r>
      <w:r w:rsidR="00591213">
        <w:t>would be utilized, it is assumed that noise-sensitive receptors would not be located in close proximit</w:t>
      </w:r>
      <w:r w:rsidR="00591213" w:rsidRPr="00591213">
        <w:t>y to the vegetation treatment site. However, noise-sensitive receptors could be exposed to helicopter noise during approach and takeoff procedures.</w:t>
      </w:r>
    </w:p>
    <w:p w14:paraId="2A71E539" w14:textId="3B808873" w:rsidR="00A02E34" w:rsidRDefault="00EA2667" w:rsidP="00A82BED">
      <w:pPr>
        <w:pStyle w:val="BodyText"/>
      </w:pPr>
      <w:r w:rsidRPr="00EA2667">
        <w:t xml:space="preserve">The helicopter and </w:t>
      </w:r>
      <w:proofErr w:type="spellStart"/>
      <w:r w:rsidRPr="00EA2667">
        <w:t>helitorch</w:t>
      </w:r>
      <w:proofErr w:type="spellEnd"/>
      <w:r w:rsidRPr="00EA2667">
        <w:t xml:space="preserve"> would only be used to ignite the prescribed burn; and thus, t</w:t>
      </w:r>
      <w:r w:rsidR="00A62D6B" w:rsidRPr="00EA2667">
        <w:t xml:space="preserve">otal helicopter usage </w:t>
      </w:r>
      <w:r w:rsidR="00947C9D" w:rsidRPr="00EA2667">
        <w:t>for individual vegetation treatment sites</w:t>
      </w:r>
      <w:r w:rsidRPr="00EA2667">
        <w:t xml:space="preserve"> would be limited to one helicopter </w:t>
      </w:r>
      <w:r w:rsidR="00CA299C">
        <w:t xml:space="preserve">trip </w:t>
      </w:r>
      <w:r w:rsidRPr="00EA2667">
        <w:t>over the span of one day. Additionally, f</w:t>
      </w:r>
      <w:r w:rsidR="00A62D6B" w:rsidRPr="00EA2667">
        <w:t>or safety and visibility reasons, helicopters would be used only during the day.</w:t>
      </w:r>
      <w:r w:rsidR="00CA299C">
        <w:t xml:space="preserve"> </w:t>
      </w:r>
      <w:r w:rsidR="00591213" w:rsidRPr="00CA299C">
        <w:t>Therefore</w:t>
      </w:r>
      <w:r w:rsidR="00A62D6B" w:rsidRPr="00CA299C">
        <w:t xml:space="preserve">, overall </w:t>
      </w:r>
      <w:r w:rsidR="00D12B1E">
        <w:t xml:space="preserve">any exposure </w:t>
      </w:r>
      <w:r w:rsidR="002055A4">
        <w:t xml:space="preserve">of </w:t>
      </w:r>
      <w:r w:rsidR="00D12B1E">
        <w:t xml:space="preserve">sensitive receptors to noise generated by </w:t>
      </w:r>
      <w:r w:rsidR="00A62D6B" w:rsidRPr="00CA299C">
        <w:t xml:space="preserve">helicopter activity would be </w:t>
      </w:r>
      <w:r w:rsidR="00D12B1E">
        <w:t>brief,</w:t>
      </w:r>
      <w:r w:rsidR="00A62D6B" w:rsidRPr="00CA299C">
        <w:t xml:space="preserve"> infrequent, </w:t>
      </w:r>
      <w:r w:rsidR="00CA299C" w:rsidRPr="00CA299C">
        <w:t xml:space="preserve">and </w:t>
      </w:r>
      <w:r w:rsidR="004C4256">
        <w:t xml:space="preserve">pursuant to SPR NOI-1 </w:t>
      </w:r>
      <w:r w:rsidR="002055A4">
        <w:t xml:space="preserve">would </w:t>
      </w:r>
      <w:r w:rsidR="00D12B1E">
        <w:t xml:space="preserve">not </w:t>
      </w:r>
      <w:r w:rsidR="00CA299C" w:rsidRPr="00CA299C">
        <w:t>occur</w:t>
      </w:r>
      <w:r w:rsidR="00A62D6B" w:rsidRPr="00CA299C">
        <w:t xml:space="preserve"> during </w:t>
      </w:r>
      <w:r w:rsidR="00D12B1E">
        <w:t>noise-sensitive evening and nighttime</w:t>
      </w:r>
      <w:r w:rsidR="00A62D6B" w:rsidRPr="00CA299C">
        <w:t xml:space="preserve"> hours. </w:t>
      </w:r>
    </w:p>
    <w:p w14:paraId="393C77F1" w14:textId="4CFF6BDC" w:rsidR="00052B95" w:rsidRDefault="002055A4" w:rsidP="00052B95">
      <w:pPr>
        <w:pStyle w:val="Heading5"/>
      </w:pPr>
      <w:r>
        <w:t>Conclusion</w:t>
      </w:r>
    </w:p>
    <w:p w14:paraId="7E3E5869" w14:textId="16AE0C93" w:rsidR="00AB476E" w:rsidRPr="00B83ED0" w:rsidRDefault="002055A4" w:rsidP="00A82BED">
      <w:pPr>
        <w:pStyle w:val="BodyText"/>
      </w:pPr>
      <w:r>
        <w:t>Qualifying projects under the proposed CalVTP would integ</w:t>
      </w:r>
      <w:r w:rsidR="00BE7F09">
        <w:t>rate various SPRs into treatment design to</w:t>
      </w:r>
      <w:r w:rsidR="00D964DE" w:rsidRPr="00754BD5">
        <w:t xml:space="preserve"> reduce </w:t>
      </w:r>
      <w:r w:rsidR="00D964DE">
        <w:t xml:space="preserve">exposure to noise generated by </w:t>
      </w:r>
      <w:r w:rsidR="00D964DE" w:rsidRPr="00754BD5">
        <w:t>vegetation treatment activit</w:t>
      </w:r>
      <w:r w:rsidR="00BE7F09">
        <w:t>ies</w:t>
      </w:r>
      <w:r w:rsidR="00D964DE" w:rsidRPr="00754BD5">
        <w:t xml:space="preserve">. </w:t>
      </w:r>
      <w:r w:rsidR="00D964DE">
        <w:t xml:space="preserve">SPR AD-3 </w:t>
      </w:r>
      <w:r w:rsidR="00BE7F09">
        <w:t>requires</w:t>
      </w:r>
      <w:r w:rsidR="00D964DE">
        <w:t xml:space="preserve"> that treatments are designed and implemented in a manner that is consistent with applicable local plans (e.g., general plans), </w:t>
      </w:r>
      <w:r w:rsidR="00D964DE" w:rsidRPr="00D6194B">
        <w:t>policies</w:t>
      </w:r>
      <w:r w:rsidR="00D964DE">
        <w:t xml:space="preserve">, and ordinances to the extent the project is subject to them. </w:t>
      </w:r>
      <w:r w:rsidR="00C80F50">
        <w:t xml:space="preserve">An example of how compliance with local noise ordinance </w:t>
      </w:r>
      <w:r w:rsidR="009062DD">
        <w:t xml:space="preserve">would </w:t>
      </w:r>
      <w:r w:rsidR="00C80F50">
        <w:t>avoid an</w:t>
      </w:r>
      <w:r w:rsidR="009062DD">
        <w:t>d</w:t>
      </w:r>
      <w:r w:rsidR="00C80F50">
        <w:t xml:space="preserve"> minimize increased noise levels and exposure to noise</w:t>
      </w:r>
      <w:r w:rsidR="00700184">
        <w:t xml:space="preserve"> for qualifying treatments implemented by local agencies</w:t>
      </w:r>
      <w:r w:rsidR="00C80F50">
        <w:t xml:space="preserve"> is presented for Humboldt County, which is t</w:t>
      </w:r>
      <w:r w:rsidR="00B83ED0">
        <w:t xml:space="preserve">he county with the greatest number of total acres within the treatable landscape. </w:t>
      </w:r>
      <w:r w:rsidR="00AB476E" w:rsidRPr="00D439AD">
        <w:t>The Humboldt County Code does not contain any noise standards or noise-exemption time periods related to construction activity</w:t>
      </w:r>
      <w:r w:rsidR="009062DD" w:rsidRPr="00D439AD">
        <w:t xml:space="preserve">, which would </w:t>
      </w:r>
      <w:r w:rsidR="00F160C3" w:rsidRPr="00D439AD">
        <w:t xml:space="preserve">also </w:t>
      </w:r>
      <w:r w:rsidR="009062DD" w:rsidRPr="00D439AD">
        <w:t>apply to vegetation treatment activities</w:t>
      </w:r>
      <w:r w:rsidR="00AB476E" w:rsidRPr="00D439AD">
        <w:t xml:space="preserve">. </w:t>
      </w:r>
      <w:r w:rsidR="000309D7" w:rsidRPr="00D439AD">
        <w:t>I</w:t>
      </w:r>
      <w:r w:rsidR="00F160C3" w:rsidRPr="00D439AD">
        <w:t>n</w:t>
      </w:r>
      <w:r w:rsidR="000309D7" w:rsidRPr="00D439AD">
        <w:t xml:space="preserve"> the absence of standards </w:t>
      </w:r>
      <w:r w:rsidR="00F160C3" w:rsidRPr="00D439AD">
        <w:t>for</w:t>
      </w:r>
      <w:r w:rsidR="000309D7" w:rsidRPr="00D439AD">
        <w:t xml:space="preserve"> construction</w:t>
      </w:r>
      <w:r w:rsidR="00F160C3" w:rsidRPr="00D439AD">
        <w:t xml:space="preserve"> noise</w:t>
      </w:r>
      <w:r w:rsidR="000309D7" w:rsidRPr="00D439AD">
        <w:t xml:space="preserve">, </w:t>
      </w:r>
      <w:r w:rsidR="00F160C3" w:rsidRPr="00D439AD">
        <w:t>the county</w:t>
      </w:r>
      <w:r w:rsidR="00DF0AA2">
        <w:t>’</w:t>
      </w:r>
      <w:r w:rsidR="00F160C3" w:rsidRPr="00D439AD">
        <w:t>s</w:t>
      </w:r>
      <w:r w:rsidR="00AB476E" w:rsidRPr="00D439AD">
        <w:t xml:space="preserve"> land use/noise compatibility interior standards would be applied</w:t>
      </w:r>
      <w:r w:rsidR="00F160C3" w:rsidRPr="00D439AD">
        <w:t xml:space="preserve">, which limit interior noise to 45 dB </w:t>
      </w:r>
      <w:proofErr w:type="spellStart"/>
      <w:r w:rsidR="00F160C3" w:rsidRPr="00D439AD">
        <w:t>L</w:t>
      </w:r>
      <w:r w:rsidR="00F160C3" w:rsidRPr="00D439AD">
        <w:rPr>
          <w:vertAlign w:val="subscript"/>
        </w:rPr>
        <w:t>dn</w:t>
      </w:r>
      <w:proofErr w:type="spellEnd"/>
      <w:r w:rsidR="00F160C3" w:rsidRPr="00D439AD">
        <w:rPr>
          <w:vertAlign w:val="subscript"/>
        </w:rPr>
        <w:t xml:space="preserve"> </w:t>
      </w:r>
      <w:r w:rsidR="00F160C3" w:rsidRPr="00D439AD">
        <w:t>for noise sensitive receptors</w:t>
      </w:r>
      <w:r w:rsidR="00AB476E" w:rsidRPr="00D439AD">
        <w:t xml:space="preserve">. </w:t>
      </w:r>
      <w:r w:rsidR="00F160C3" w:rsidRPr="00D439AD">
        <w:t>With</w:t>
      </w:r>
      <w:r w:rsidR="00AB476E" w:rsidRPr="00D439AD">
        <w:t xml:space="preserve"> implementation of SPR AD-3, noise levels associated with vegetation treatment activities under the CalVTP would not exceed </w:t>
      </w:r>
      <w:r w:rsidR="00700184">
        <w:t>local</w:t>
      </w:r>
      <w:r w:rsidR="00AB476E" w:rsidRPr="00D439AD">
        <w:t xml:space="preserve"> land use/noise compatibility standard</w:t>
      </w:r>
      <w:r w:rsidR="00F160C3" w:rsidRPr="00D439AD">
        <w:t>s</w:t>
      </w:r>
      <w:r w:rsidR="00AB476E" w:rsidRPr="00D439AD">
        <w:t>.</w:t>
      </w:r>
      <w:r w:rsidR="00AB476E">
        <w:t xml:space="preserve"> </w:t>
      </w:r>
      <w:r w:rsidR="00700184">
        <w:t>and</w:t>
      </w:r>
      <w:r w:rsidR="00AB476E">
        <w:t xml:space="preserve"> noise exposure attributed to vegetation treatment activities under the CalVTP would not </w:t>
      </w:r>
      <w:r w:rsidR="00AB476E" w:rsidRPr="00C16CDB">
        <w:t>generat</w:t>
      </w:r>
      <w:r w:rsidR="00AB476E">
        <w:t>e</w:t>
      </w:r>
      <w:r w:rsidR="00AB476E" w:rsidRPr="00C16CDB">
        <w:t xml:space="preserve"> a substantial temporary increase in ambient noise levels in the vicinity of</w:t>
      </w:r>
      <w:r w:rsidR="00AB476E">
        <w:t xml:space="preserve"> the project in excess of local standards</w:t>
      </w:r>
      <w:r w:rsidR="00700184">
        <w:t xml:space="preserve"> when local standards are applicable</w:t>
      </w:r>
      <w:r w:rsidR="00AB476E">
        <w:t>.</w:t>
      </w:r>
    </w:p>
    <w:p w14:paraId="45986E04" w14:textId="02C7EF59" w:rsidR="00BE7F09" w:rsidRDefault="00BE7F09" w:rsidP="00A82BED">
      <w:pPr>
        <w:pStyle w:val="BodyText"/>
      </w:pPr>
      <w:r>
        <w:t xml:space="preserve">Other SPRs that avoid and minimize noise exposure are SPRs NOI-1, NOI-4, and NOI-6. </w:t>
      </w:r>
      <w:r w:rsidR="00D964DE" w:rsidRPr="00754BD5">
        <w:t>SPR NOI-1 restrict</w:t>
      </w:r>
      <w:r>
        <w:t>s</w:t>
      </w:r>
      <w:r w:rsidR="00D964DE" w:rsidRPr="00754BD5">
        <w:t xml:space="preserve"> </w:t>
      </w:r>
      <w:r w:rsidR="00D964DE">
        <w:t>vegetation treatment activities</w:t>
      </w:r>
      <w:r w:rsidR="00D964DE" w:rsidRPr="00754BD5">
        <w:t xml:space="preserve"> to daytime hours</w:t>
      </w:r>
      <w:r w:rsidR="00D964DE">
        <w:t>.</w:t>
      </w:r>
      <w:r w:rsidR="00D964DE" w:rsidRPr="00754BD5">
        <w:t xml:space="preserve"> SPR NOI-4 </w:t>
      </w:r>
      <w:r w:rsidR="00D964DE">
        <w:t xml:space="preserve">would </w:t>
      </w:r>
      <w:r w:rsidR="00D964DE" w:rsidRPr="00754BD5">
        <w:t xml:space="preserve">require </w:t>
      </w:r>
      <w:r w:rsidR="00D964DE">
        <w:t>vegetation treatment</w:t>
      </w:r>
      <w:r w:rsidR="00D964DE" w:rsidRPr="00754BD5">
        <w:t xml:space="preserve"> activities and staging areas </w:t>
      </w:r>
      <w:r w:rsidR="00D964DE">
        <w:t xml:space="preserve">be </w:t>
      </w:r>
      <w:r w:rsidR="00D964DE" w:rsidRPr="00754BD5">
        <w:t xml:space="preserve">located </w:t>
      </w:r>
      <w:r w:rsidR="00C80F50">
        <w:t>away</w:t>
      </w:r>
      <w:r w:rsidR="00D964DE" w:rsidRPr="00754BD5">
        <w:t xml:space="preserve"> from sensitive receptors</w:t>
      </w:r>
      <w:r w:rsidR="001E6A65">
        <w:t xml:space="preserve"> to the extent feasible</w:t>
      </w:r>
      <w:r w:rsidR="00C80F50">
        <w:t xml:space="preserve"> to minimize noise exposure</w:t>
      </w:r>
      <w:r w:rsidR="00D964DE">
        <w:t>.</w:t>
      </w:r>
      <w:r w:rsidR="00D964DE" w:rsidRPr="00754BD5">
        <w:t xml:space="preserve"> </w:t>
      </w:r>
      <w:r w:rsidR="00C80F50">
        <w:t xml:space="preserve">Additionally, </w:t>
      </w:r>
      <w:r w:rsidR="00D964DE" w:rsidRPr="00754BD5">
        <w:t xml:space="preserve">SPR NOI-6 </w:t>
      </w:r>
      <w:r w:rsidR="004C4256">
        <w:t>requires</w:t>
      </w:r>
      <w:r w:rsidR="00D964DE" w:rsidRPr="00754BD5">
        <w:t xml:space="preserve"> notification </w:t>
      </w:r>
      <w:r w:rsidR="00D964DE">
        <w:t>be</w:t>
      </w:r>
      <w:r w:rsidR="00D964DE" w:rsidRPr="00754BD5">
        <w:t xml:space="preserve"> provided </w:t>
      </w:r>
      <w:r w:rsidR="004C4256">
        <w:t>to</w:t>
      </w:r>
      <w:r w:rsidR="00D964DE" w:rsidRPr="00754BD5">
        <w:t xml:space="preserve"> </w:t>
      </w:r>
      <w:r w:rsidR="004C4256" w:rsidRPr="00754BD5">
        <w:t xml:space="preserve">nearby </w:t>
      </w:r>
      <w:r w:rsidR="00D964DE" w:rsidRPr="00754BD5">
        <w:t>sensitive receptors</w:t>
      </w:r>
      <w:r w:rsidR="001E6A65">
        <w:t xml:space="preserve"> when heavy equipment would be used for a treatment</w:t>
      </w:r>
      <w:r w:rsidR="00D964DE" w:rsidRPr="00754BD5">
        <w:t xml:space="preserve">. </w:t>
      </w:r>
    </w:p>
    <w:p w14:paraId="35FB5C17" w14:textId="1F9DB9C2" w:rsidR="00D964DE" w:rsidRDefault="00BE7F09" w:rsidP="00A82BED">
      <w:pPr>
        <w:pStyle w:val="BodyText"/>
      </w:pPr>
      <w:r>
        <w:t xml:space="preserve">SPRs to reduce noise levels during treatment would also be integrated into treatment design. </w:t>
      </w:r>
      <w:r w:rsidRPr="00754BD5">
        <w:t>SPR NOI-2 require</w:t>
      </w:r>
      <w:r>
        <w:t>s</w:t>
      </w:r>
      <w:r w:rsidRPr="00754BD5">
        <w:t xml:space="preserve"> all equipment </w:t>
      </w:r>
      <w:r>
        <w:t xml:space="preserve">to </w:t>
      </w:r>
      <w:r w:rsidRPr="00754BD5">
        <w:t>be maintained appropriately and equipped with the proper intake and exhaust shrouds</w:t>
      </w:r>
      <w:r>
        <w:t>.</w:t>
      </w:r>
      <w:r w:rsidRPr="00754BD5">
        <w:t xml:space="preserve"> SPR NOI-3 </w:t>
      </w:r>
      <w:r>
        <w:t>requires</w:t>
      </w:r>
      <w:r w:rsidRPr="00754BD5">
        <w:t xml:space="preserve"> all equipment engine shrouds </w:t>
      </w:r>
      <w:r>
        <w:t xml:space="preserve">to </w:t>
      </w:r>
      <w:r w:rsidRPr="00754BD5">
        <w:t>be closed during operation</w:t>
      </w:r>
      <w:r>
        <w:t>.</w:t>
      </w:r>
      <w:r w:rsidRPr="00BE7F09">
        <w:t xml:space="preserve"> </w:t>
      </w:r>
      <w:r w:rsidRPr="00754BD5">
        <w:t>SPR NOI-5 restrict</w:t>
      </w:r>
      <w:r>
        <w:t>s</w:t>
      </w:r>
      <w:r w:rsidRPr="00754BD5">
        <w:t xml:space="preserve"> equipment idl</w:t>
      </w:r>
      <w:r>
        <w:t>ing</w:t>
      </w:r>
      <w:r w:rsidRPr="00754BD5">
        <w:t xml:space="preserve"> time</w:t>
      </w:r>
      <w:r>
        <w:t>.</w:t>
      </w:r>
    </w:p>
    <w:p w14:paraId="757CBFA0" w14:textId="7A1749B8" w:rsidR="00A02E34" w:rsidRDefault="00052B95" w:rsidP="00A82BED">
      <w:pPr>
        <w:pStyle w:val="BodyText"/>
      </w:pPr>
      <w:r>
        <w:t xml:space="preserve">Each </w:t>
      </w:r>
      <w:r w:rsidR="00CA299C">
        <w:t>vegetation treatment</w:t>
      </w:r>
      <w:r w:rsidR="00CA299C" w:rsidRPr="00754BD5">
        <w:t xml:space="preserve"> </w:t>
      </w:r>
      <w:r w:rsidR="00B173FE">
        <w:t>activity</w:t>
      </w:r>
      <w:r w:rsidR="00B173FE" w:rsidRPr="00754BD5">
        <w:t xml:space="preserve"> </w:t>
      </w:r>
      <w:r w:rsidR="00CA299C" w:rsidRPr="00754BD5">
        <w:t>under th</w:t>
      </w:r>
      <w:r w:rsidR="00104D4A">
        <w:t>e</w:t>
      </w:r>
      <w:r w:rsidR="00CA299C" w:rsidRPr="00754BD5">
        <w:t xml:space="preserve"> </w:t>
      </w:r>
      <w:r w:rsidR="000B4B5E">
        <w:t>CalVTP</w:t>
      </w:r>
      <w:r w:rsidR="00CA299C" w:rsidRPr="00754BD5">
        <w:t xml:space="preserve"> would be required to adhere to the</w:t>
      </w:r>
      <w:r w:rsidR="00B173FE">
        <w:t xml:space="preserve"> applicable</w:t>
      </w:r>
      <w:r w:rsidR="00CA299C" w:rsidRPr="00754BD5">
        <w:t xml:space="preserve"> SPRs</w:t>
      </w:r>
      <w:r>
        <w:t xml:space="preserve"> </w:t>
      </w:r>
      <w:r w:rsidR="00BE7F09">
        <w:t xml:space="preserve">identified </w:t>
      </w:r>
      <w:r>
        <w:t>above</w:t>
      </w:r>
      <w:r w:rsidR="00BE7F09">
        <w:t xml:space="preserve"> that avoid and minimize exposure to noise and reduce noise levels during treatment. </w:t>
      </w:r>
      <w:r w:rsidR="001444EF">
        <w:t>A</w:t>
      </w:r>
      <w:r w:rsidR="00054C9F" w:rsidRPr="00DC3233">
        <w:t xml:space="preserve">ny increase in noise exposure at nearby receptors would </w:t>
      </w:r>
      <w:r w:rsidR="00193E1C">
        <w:t>only occur during daytime hours</w:t>
      </w:r>
      <w:r w:rsidR="001A7138">
        <w:t xml:space="preserve">; thus, </w:t>
      </w:r>
      <w:r w:rsidR="00650125">
        <w:t xml:space="preserve">avoiding the potential to cause sleep </w:t>
      </w:r>
      <w:r w:rsidR="00650125">
        <w:lastRenderedPageBreak/>
        <w:t xml:space="preserve">disturbance to residents during </w:t>
      </w:r>
      <w:r w:rsidR="00193E1C">
        <w:t xml:space="preserve">the more noise-sensitive evening and nighttime hours. </w:t>
      </w:r>
      <w:r w:rsidR="00780E5C">
        <w:t xml:space="preserve">Although </w:t>
      </w:r>
      <w:r w:rsidR="00780E5C" w:rsidRPr="00DC3233">
        <w:t xml:space="preserve">noise-sensitive receptors near </w:t>
      </w:r>
      <w:r w:rsidR="00780E5C">
        <w:t>vegetation treatment</w:t>
      </w:r>
      <w:r w:rsidR="00780E5C" w:rsidRPr="00DC3233">
        <w:t xml:space="preserve"> sites could</w:t>
      </w:r>
      <w:r w:rsidR="00780E5C">
        <w:t xml:space="preserve"> </w:t>
      </w:r>
      <w:r w:rsidR="00780E5C" w:rsidRPr="00DC3233">
        <w:t xml:space="preserve">experience </w:t>
      </w:r>
      <w:r w:rsidR="00780E5C">
        <w:t>a temporary increase in</w:t>
      </w:r>
      <w:r w:rsidR="00780E5C" w:rsidRPr="00DC3233">
        <w:t xml:space="preserve"> </w:t>
      </w:r>
      <w:r w:rsidR="00780E5C">
        <w:t xml:space="preserve">ambient </w:t>
      </w:r>
      <w:r w:rsidR="00780E5C" w:rsidRPr="00DC3233">
        <w:t>noise levels</w:t>
      </w:r>
      <w:r w:rsidR="00780E5C">
        <w:t xml:space="preserve">, this increase would not be substantial with implementation of SPRs. </w:t>
      </w:r>
      <w:r w:rsidR="00054C9F">
        <w:t>T</w:t>
      </w:r>
      <w:r w:rsidR="00CA299C" w:rsidRPr="00754BD5">
        <w:t xml:space="preserve">his impact would be </w:t>
      </w:r>
      <w:r w:rsidR="00CA59E6" w:rsidRPr="00CA59E6">
        <w:rPr>
          <w:b/>
        </w:rPr>
        <w:t>less than</w:t>
      </w:r>
      <w:r w:rsidR="001234F3" w:rsidRPr="00CA59E6">
        <w:rPr>
          <w:b/>
        </w:rPr>
        <w:t xml:space="preserve"> </w:t>
      </w:r>
      <w:r w:rsidR="00CA299C" w:rsidRPr="00D96422">
        <w:rPr>
          <w:b/>
        </w:rPr>
        <w:t>significant</w:t>
      </w:r>
      <w:r w:rsidR="00CA299C" w:rsidRPr="00754BD5">
        <w:t>.</w:t>
      </w:r>
    </w:p>
    <w:p w14:paraId="6BB5D86D" w14:textId="77777777" w:rsidR="0030140B" w:rsidRDefault="0030140B" w:rsidP="00935CAF">
      <w:pPr>
        <w:pStyle w:val="Heading5"/>
      </w:pPr>
      <w:r>
        <w:t>Mitigation Measures</w:t>
      </w:r>
    </w:p>
    <w:p w14:paraId="5CC77A90" w14:textId="197CF2C3" w:rsidR="0030140B" w:rsidRDefault="006A311E" w:rsidP="0030140B">
      <w:pPr>
        <w:pStyle w:val="Mitigationtext"/>
      </w:pPr>
      <w:r>
        <w:t>No mitigation is required for this impact.</w:t>
      </w:r>
    </w:p>
    <w:p w14:paraId="3B5F9720" w14:textId="6443F55C" w:rsidR="002F0948" w:rsidRPr="00E8711F" w:rsidRDefault="00193E1C" w:rsidP="002F0948">
      <w:pPr>
        <w:pStyle w:val="ImpactNo"/>
      </w:pPr>
      <w:r w:rsidRPr="00E8711F">
        <w:t xml:space="preserve">Impact NOI-2: Result in a </w:t>
      </w:r>
      <w:r w:rsidR="00155AB2" w:rsidRPr="00E8711F">
        <w:t xml:space="preserve">Substantial Short-Term Increase </w:t>
      </w:r>
      <w:r w:rsidR="00155AB2">
        <w:t>i</w:t>
      </w:r>
      <w:r w:rsidR="00155AB2" w:rsidRPr="00E8711F">
        <w:t xml:space="preserve">n Truck-Generated </w:t>
      </w:r>
      <w:r w:rsidR="009C1D2E" w:rsidRPr="00E8711F">
        <w:t>SENL</w:t>
      </w:r>
      <w:r w:rsidR="00DF0AA2">
        <w:t>’</w:t>
      </w:r>
      <w:r w:rsidR="002F0948" w:rsidRPr="00E8711F">
        <w:t>s</w:t>
      </w:r>
      <w:r w:rsidRPr="00E8711F">
        <w:t xml:space="preserve"> </w:t>
      </w:r>
      <w:r w:rsidR="00155AB2" w:rsidRPr="00E8711F">
        <w:t>During Treatment Activities</w:t>
      </w:r>
    </w:p>
    <w:p w14:paraId="06A6783E" w14:textId="1A96B478" w:rsidR="002F0948" w:rsidRPr="00E8711F" w:rsidRDefault="00F408D2" w:rsidP="00A82BED">
      <w:pPr>
        <w:pStyle w:val="Impactdescription"/>
      </w:pPr>
      <w:r w:rsidRPr="00E8711F">
        <w:t>Because v</w:t>
      </w:r>
      <w:r w:rsidR="002F0948" w:rsidRPr="00E8711F">
        <w:t xml:space="preserve">egetation treatment activities under the </w:t>
      </w:r>
      <w:r w:rsidR="000B4B5E" w:rsidRPr="00E8711F">
        <w:t>CalVTP</w:t>
      </w:r>
      <w:r w:rsidR="002F0948" w:rsidRPr="00E8711F">
        <w:t xml:space="preserve"> would be required to adhere to SPR</w:t>
      </w:r>
      <w:r w:rsidRPr="00E8711F">
        <w:t xml:space="preserve"> NOI-1, which</w:t>
      </w:r>
      <w:r w:rsidR="002F0948" w:rsidRPr="00E8711F">
        <w:t xml:space="preserve"> limit</w:t>
      </w:r>
      <w:r w:rsidRPr="00E8711F">
        <w:t>s</w:t>
      </w:r>
      <w:r w:rsidR="002F0948" w:rsidRPr="00E8711F">
        <w:t xml:space="preserve"> vegetation treatment activities to daytime hours, SENL</w:t>
      </w:r>
      <w:r w:rsidR="00A77D9C" w:rsidRPr="00E8711F">
        <w:t xml:space="preserve">s </w:t>
      </w:r>
      <w:r w:rsidRPr="00E8711F">
        <w:t>generated by</w:t>
      </w:r>
      <w:r w:rsidRPr="00E8711F" w:rsidDel="00F408D2">
        <w:t xml:space="preserve"> </w:t>
      </w:r>
      <w:r w:rsidRPr="00E8711F">
        <w:t>associated</w:t>
      </w:r>
      <w:r w:rsidR="00A77D9C" w:rsidRPr="00E8711F">
        <w:t xml:space="preserve"> haul truck trips would not </w:t>
      </w:r>
      <w:r w:rsidRPr="00E8711F">
        <w:t xml:space="preserve">have the potential to result in </w:t>
      </w:r>
      <w:r w:rsidRPr="00A82BED">
        <w:t>sleep</w:t>
      </w:r>
      <w:r w:rsidRPr="00E8711F">
        <w:t xml:space="preserve"> disturbance </w:t>
      </w:r>
      <w:r w:rsidR="00A77D9C" w:rsidRPr="00E8711F">
        <w:t>during noise-sensitive evening and nighttime hours</w:t>
      </w:r>
      <w:r w:rsidRPr="00E8711F">
        <w:t>. For this reason</w:t>
      </w:r>
      <w:r w:rsidR="00A77D9C" w:rsidRPr="00E8711F">
        <w:t xml:space="preserve">, implementation of the </w:t>
      </w:r>
      <w:r w:rsidR="000B4B5E" w:rsidRPr="00E8711F">
        <w:t>CalVTP</w:t>
      </w:r>
      <w:r w:rsidR="00A77D9C" w:rsidRPr="00E8711F">
        <w:t xml:space="preserve"> would not result in</w:t>
      </w:r>
      <w:r w:rsidR="007B2DBD" w:rsidRPr="00E8711F">
        <w:t xml:space="preserve"> </w:t>
      </w:r>
      <w:r w:rsidR="002F0948" w:rsidRPr="00E8711F">
        <w:t>a substantial temporary increase</w:t>
      </w:r>
      <w:r w:rsidR="007B2DBD" w:rsidRPr="00E8711F">
        <w:t xml:space="preserve"> in SENL</w:t>
      </w:r>
      <w:r w:rsidR="00DF0AA2">
        <w:t>’</w:t>
      </w:r>
      <w:r w:rsidR="007B2DBD" w:rsidRPr="00E8711F">
        <w:t>s during vegetation treatment activities</w:t>
      </w:r>
      <w:r w:rsidR="002F0948" w:rsidRPr="00E8711F">
        <w:t xml:space="preserve">. This impact would be </w:t>
      </w:r>
      <w:r w:rsidR="007B2DBD" w:rsidRPr="00E8711F">
        <w:rPr>
          <w:b/>
        </w:rPr>
        <w:t>less than</w:t>
      </w:r>
      <w:r w:rsidR="002F0948" w:rsidRPr="00E8711F">
        <w:rPr>
          <w:b/>
        </w:rPr>
        <w:t xml:space="preserve"> significant</w:t>
      </w:r>
      <w:r w:rsidR="002F0948" w:rsidRPr="00E8711F">
        <w:t xml:space="preserve">. </w:t>
      </w:r>
    </w:p>
    <w:p w14:paraId="5DA3E826" w14:textId="72566EAC" w:rsidR="003601AB" w:rsidRPr="00E8711F" w:rsidRDefault="00597148" w:rsidP="00A82BED">
      <w:pPr>
        <w:pStyle w:val="BodyText"/>
      </w:pPr>
      <w:r w:rsidRPr="00E8711F">
        <w:t>Treatment activities implemented under the CalVTP would involve large trucks hauling heavy equipment, crews, and</w:t>
      </w:r>
      <w:r w:rsidR="00E2578C" w:rsidRPr="00E8711F">
        <w:t>/or</w:t>
      </w:r>
      <w:r w:rsidRPr="00E8711F">
        <w:t xml:space="preserve"> livestock to the treatment sites. </w:t>
      </w:r>
      <w:r w:rsidR="00B41C3A" w:rsidRPr="00E8711F">
        <w:t>Many of t</w:t>
      </w:r>
      <w:r w:rsidR="00F172B4" w:rsidRPr="00E8711F">
        <w:t>hese haul truck trips would use roads that would pass by residential</w:t>
      </w:r>
      <w:r w:rsidR="00C750E1" w:rsidRPr="00E8711F">
        <w:t xml:space="preserve"> receptors and the event of each truck passing by could generate a SENL that could be noticeable to residents</w:t>
      </w:r>
      <w:r w:rsidR="00F172B4" w:rsidRPr="00E8711F">
        <w:t xml:space="preserve">. </w:t>
      </w:r>
      <w:r w:rsidR="000B2845" w:rsidRPr="00E8711F">
        <w:t xml:space="preserve">Reference SENLs for heavy truck </w:t>
      </w:r>
      <w:proofErr w:type="spellStart"/>
      <w:r w:rsidR="000B2845" w:rsidRPr="00E8711F">
        <w:t>passbys</w:t>
      </w:r>
      <w:proofErr w:type="spellEnd"/>
      <w:r w:rsidR="000B2845" w:rsidRPr="00E8711F">
        <w:t xml:space="preserve"> were measured by Bollard Acoustical Consultants and reported in an EIR for a proposed commercial center (</w:t>
      </w:r>
      <w:bookmarkStart w:id="106" w:name="_Hlk8114100"/>
      <w:r w:rsidR="000B2845" w:rsidRPr="00E8711F">
        <w:t>City of Ceres 2010</w:t>
      </w:r>
      <w:bookmarkEnd w:id="106"/>
      <w:r w:rsidR="000B2845" w:rsidRPr="00E8711F">
        <w:t xml:space="preserve">). The results of the outdoor measurements indicated that </w:t>
      </w:r>
      <w:r w:rsidR="00B41C3A" w:rsidRPr="00E8711F">
        <w:t xml:space="preserve">SENLs generated by </w:t>
      </w:r>
      <w:r w:rsidR="000B2845" w:rsidRPr="00E8711F">
        <w:t xml:space="preserve">heavy truck </w:t>
      </w:r>
      <w:proofErr w:type="spellStart"/>
      <w:r w:rsidR="000B2845" w:rsidRPr="00E8711F">
        <w:t>passby</w:t>
      </w:r>
      <w:r w:rsidR="00B41C3A" w:rsidRPr="00E8711F">
        <w:t>s</w:t>
      </w:r>
      <w:proofErr w:type="spellEnd"/>
      <w:r w:rsidR="000B2845" w:rsidRPr="00E8711F">
        <w:t xml:space="preserve"> range from 77 to 85 dB SE</w:t>
      </w:r>
      <w:r w:rsidR="00B41C3A" w:rsidRPr="00E8711F">
        <w:t>N</w:t>
      </w:r>
      <w:r w:rsidR="000B2845" w:rsidRPr="00E8711F">
        <w:t>L, with a mean of 83 dB SEL at a reference distance of 50 feet. It is assumed that SELs from engine braking (a.k.a., Jake braking)</w:t>
      </w:r>
      <w:r w:rsidR="00B27441" w:rsidRPr="00E8711F">
        <w:t xml:space="preserve"> are</w:t>
      </w:r>
      <w:r w:rsidR="000B2845" w:rsidRPr="00E8711F">
        <w:t xml:space="preserve"> is at least as loud.</w:t>
      </w:r>
      <w:r w:rsidR="00B46E2D" w:rsidRPr="00E8711F">
        <w:t xml:space="preserve"> </w:t>
      </w:r>
    </w:p>
    <w:p w14:paraId="74AFE021" w14:textId="686F953B" w:rsidR="009C7A1A" w:rsidRPr="00E8711F" w:rsidRDefault="00014B87" w:rsidP="00A82BED">
      <w:pPr>
        <w:pStyle w:val="BodyText"/>
      </w:pPr>
      <w:r w:rsidRPr="00E8711F">
        <w:t>As described above, the SENL describes a receiver</w:t>
      </w:r>
      <w:r w:rsidR="00DF0AA2">
        <w:t>’</w:t>
      </w:r>
      <w:r w:rsidRPr="00E8711F">
        <w:t xml:space="preserve">s cumulative noise exposure from a single impulsive noise event, which is a rating of a discrete noise event that compresses the total sound energy of the event into a 1-second period, measured in decibels (Caltrans 2011). These noise events can be more startling to receptors if they occur when ambient noise levels are quieter, such as during nighttime hours. </w:t>
      </w:r>
      <w:r w:rsidR="003601AB" w:rsidRPr="00E8711F">
        <w:t xml:space="preserve">Assuming the average exterior-to-interior noise level reduction of 20 dB provided by wood frame buildings with the windows closed (Caltrans 2011), the </w:t>
      </w:r>
      <w:r w:rsidR="00B27441" w:rsidRPr="00E8711F">
        <w:t xml:space="preserve">highest </w:t>
      </w:r>
      <w:r w:rsidR="003601AB" w:rsidRPr="00E8711F">
        <w:t>SE</w:t>
      </w:r>
      <w:r w:rsidR="00B27441" w:rsidRPr="00E8711F">
        <w:t>N</w:t>
      </w:r>
      <w:r w:rsidR="003601AB" w:rsidRPr="00E8711F">
        <w:t xml:space="preserve">L in the interior of rooms located closer than 50 feet from a passing truck would exceed 65 dB SEL. Because some houses along routes </w:t>
      </w:r>
      <w:r w:rsidR="00B27441" w:rsidRPr="00E8711F">
        <w:t xml:space="preserve">used by haul trucks </w:t>
      </w:r>
      <w:r w:rsidR="00B46E2D" w:rsidRPr="00E8711F">
        <w:t xml:space="preserve">could </w:t>
      </w:r>
      <w:r w:rsidR="003601AB" w:rsidRPr="00E8711F">
        <w:t>have inhabitable rooms located closer than 50 feet to the roadway, these rooms would experience SE</w:t>
      </w:r>
      <w:r w:rsidR="00B27441" w:rsidRPr="00E8711F">
        <w:t>N</w:t>
      </w:r>
      <w:r w:rsidR="003601AB" w:rsidRPr="00E8711F">
        <w:t xml:space="preserve">Ls that exceed the </w:t>
      </w:r>
      <w:r w:rsidR="00B27441" w:rsidRPr="00E8711F">
        <w:t>criterion</w:t>
      </w:r>
      <w:r w:rsidR="003601AB" w:rsidRPr="00E8711F">
        <w:t xml:space="preserve"> of 65 dB and, therefore, the percentage of people expected to be awakened when inside the affected homes would exceed 5 percent. </w:t>
      </w:r>
      <w:r w:rsidR="004E7775" w:rsidRPr="00E8711F">
        <w:rPr>
          <w:spacing w:val="-2"/>
        </w:rPr>
        <w:t xml:space="preserve">However, </w:t>
      </w:r>
      <w:r w:rsidR="004E7775" w:rsidRPr="00E8711F">
        <w:t xml:space="preserve">SPR NOI-1 restricts hauling of equipment to daytime hours; and thus, the </w:t>
      </w:r>
      <w:r w:rsidR="009C7A1A" w:rsidRPr="00E8711F">
        <w:t xml:space="preserve">haul truck </w:t>
      </w:r>
      <w:proofErr w:type="spellStart"/>
      <w:r w:rsidR="009C7A1A" w:rsidRPr="00E8711F">
        <w:t>passbys</w:t>
      </w:r>
      <w:proofErr w:type="spellEnd"/>
      <w:r w:rsidR="009C7A1A" w:rsidRPr="00E8711F">
        <w:t xml:space="preserve"> associated with treatment activity </w:t>
      </w:r>
      <w:r w:rsidR="004E7775" w:rsidRPr="00E8711F">
        <w:t xml:space="preserve">would not occur during more noise-sensitive </w:t>
      </w:r>
      <w:r w:rsidR="009C7A1A" w:rsidRPr="00E8711F">
        <w:t xml:space="preserve">evening and </w:t>
      </w:r>
      <w:r w:rsidR="004E7775" w:rsidRPr="00E8711F">
        <w:t xml:space="preserve">nighttime hours. </w:t>
      </w:r>
      <w:r w:rsidR="00032D90" w:rsidRPr="00E8711F">
        <w:t xml:space="preserve">Also, the increase in SENL-generating haul truck </w:t>
      </w:r>
      <w:proofErr w:type="spellStart"/>
      <w:r w:rsidR="00032D90" w:rsidRPr="00E8711F">
        <w:t>passbys</w:t>
      </w:r>
      <w:proofErr w:type="spellEnd"/>
      <w:r w:rsidR="00032D90" w:rsidRPr="00E8711F">
        <w:t xml:space="preserve"> associated with treatment activity at any particulate treatment site would be temporary. </w:t>
      </w:r>
      <w:r w:rsidR="002F0948" w:rsidRPr="00E8711F">
        <w:t>Therefore,</w:t>
      </w:r>
      <w:r w:rsidR="007B2DBD" w:rsidRPr="00E8711F">
        <w:t xml:space="preserve"> </w:t>
      </w:r>
      <w:r w:rsidR="001068C2" w:rsidRPr="00E8711F">
        <w:t>f</w:t>
      </w:r>
      <w:r w:rsidR="00032D90" w:rsidRPr="00E8711F">
        <w:t xml:space="preserve">or these reasons, </w:t>
      </w:r>
      <w:r w:rsidR="009C7A1A" w:rsidRPr="00E8711F">
        <w:t>t</w:t>
      </w:r>
      <w:r w:rsidR="007B2DBD" w:rsidRPr="00E8711F">
        <w:t xml:space="preserve">his impact would be </w:t>
      </w:r>
      <w:r w:rsidR="007B2DBD" w:rsidRPr="00E8711F">
        <w:rPr>
          <w:b/>
        </w:rPr>
        <w:t>less than significant</w:t>
      </w:r>
      <w:r w:rsidR="007B2DBD" w:rsidRPr="00E8711F">
        <w:t>.</w:t>
      </w:r>
    </w:p>
    <w:p w14:paraId="3DDBB10B" w14:textId="1ADF8AFB" w:rsidR="007B2DBD" w:rsidRPr="00E8711F" w:rsidRDefault="007B2DBD" w:rsidP="00935CAF">
      <w:pPr>
        <w:pStyle w:val="Heading5"/>
      </w:pPr>
      <w:r w:rsidRPr="00E8711F">
        <w:t>Mitigation Measures</w:t>
      </w:r>
    </w:p>
    <w:p w14:paraId="3023B768" w14:textId="5F6895E5" w:rsidR="007B2DBD" w:rsidRPr="007239AB" w:rsidRDefault="00E86A5E" w:rsidP="007B2DBD">
      <w:pPr>
        <w:pStyle w:val="Mitigationtext"/>
      </w:pPr>
      <w:r>
        <w:t>No mitigation is required for this impact.</w:t>
      </w:r>
    </w:p>
    <w:bookmarkEnd w:id="99"/>
    <w:sectPr w:rsidR="007B2DBD" w:rsidRPr="007239AB" w:rsidSect="004F1920">
      <w:headerReference w:type="even" r:id="rId8"/>
      <w:headerReference w:type="default" r:id="rId9"/>
      <w:footerReference w:type="even" r:id="rId10"/>
      <w:footerReference w:type="default" r:id="rId11"/>
      <w:headerReference w:type="first" r:id="rId12"/>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E4EF6" w14:textId="77777777" w:rsidR="00FF11E4" w:rsidRDefault="00FF11E4" w:rsidP="00B53904">
      <w:r>
        <w:separator/>
      </w:r>
    </w:p>
  </w:endnote>
  <w:endnote w:type="continuationSeparator" w:id="0">
    <w:p w14:paraId="31841D8D" w14:textId="77777777" w:rsidR="00FF11E4" w:rsidRDefault="00FF11E4" w:rsidP="00B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Light">
    <w:altName w:val="Calibri"/>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93A8" w14:textId="6C08F9C6" w:rsidR="00C66769" w:rsidRPr="00AE4D3F" w:rsidRDefault="00C66769" w:rsidP="00E16BE3">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7C2D16">
      <w:rPr>
        <w:rFonts w:cs="Segoe UI Semilight"/>
        <w:noProof/>
      </w:rPr>
      <w:t>3.13-2</w:t>
    </w:r>
    <w:r w:rsidRPr="00AE4D3F">
      <w:rPr>
        <w:rFonts w:cs="Segoe UI Semilight"/>
        <w:noProof/>
      </w:rPr>
      <w:fldChar w:fldCharType="end"/>
    </w:r>
    <w:r>
      <w:rPr>
        <w:rFonts w:cs="Segoe UI Semilight"/>
        <w:noProof/>
      </w:rPr>
      <w:tab/>
    </w:r>
    <w:r w:rsidR="00012339">
      <w:rPr>
        <w:noProof/>
      </w:rPr>
      <w:t xml:space="preserve">Final </w:t>
    </w:r>
    <w:r>
      <w:rPr>
        <w:rFonts w:cs="Segoe UI Semilight"/>
        <w:noProof/>
      </w:rPr>
      <w:t xml:space="preserve">Program EIR for the </w:t>
    </w:r>
    <w:r>
      <w:rPr>
        <w:rFonts w:cs="Segoe UI Semilight"/>
      </w:rPr>
      <w:t>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5B0" w14:textId="2212595C" w:rsidR="00C66769" w:rsidRPr="00AE4D3F" w:rsidRDefault="00C66769" w:rsidP="00E16BE3">
    <w:pPr>
      <w:pStyle w:val="Footer"/>
    </w:pPr>
    <w:r w:rsidRPr="00AE4D3F">
      <w:t>Board of Forestry and Fire Protection</w:t>
    </w:r>
    <w:r w:rsidRPr="00AE4D3F">
      <w:tab/>
    </w:r>
    <w:r>
      <w:br/>
    </w:r>
    <w:r w:rsidR="00012339">
      <w:rPr>
        <w:noProof/>
      </w:rPr>
      <w:t xml:space="preserve">Final </w:t>
    </w:r>
    <w:r>
      <w:rPr>
        <w:rFonts w:cs="Segoe UI Semilight"/>
      </w:rPr>
      <w:t>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7C2D16">
      <w:rPr>
        <w:rFonts w:cs="Segoe UI Semilight"/>
        <w:noProof/>
      </w:rPr>
      <w:t>3.13-1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2436F" w14:textId="77777777" w:rsidR="00FF11E4" w:rsidRDefault="00FF11E4" w:rsidP="00B53904">
      <w:r>
        <w:separator/>
      </w:r>
    </w:p>
  </w:footnote>
  <w:footnote w:type="continuationSeparator" w:id="0">
    <w:p w14:paraId="4CEFFEE7" w14:textId="77777777" w:rsidR="00FF11E4" w:rsidRDefault="00FF11E4" w:rsidP="00B5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5BA3" w14:textId="21B8DCCF" w:rsidR="00C66769" w:rsidRPr="00D55292" w:rsidRDefault="00C66769" w:rsidP="00D31347">
    <w:pPr>
      <w:pStyle w:val="Header"/>
    </w:pPr>
    <w:r>
      <w:rPr>
        <w:rFonts w:eastAsia="Times New Roman" w:cs="Arial"/>
      </w:rPr>
      <w:t>Noise</w:t>
    </w:r>
    <w:r w:rsidRPr="00D55292">
      <w:tab/>
    </w:r>
    <w:r w:rsidRPr="00D55292">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4C51" w14:textId="087F9662" w:rsidR="00C66769" w:rsidRPr="00D55292" w:rsidRDefault="00C66769" w:rsidP="00D31347">
    <w:pPr>
      <w:pStyle w:val="Header"/>
    </w:pPr>
    <w:r w:rsidRPr="00D55292">
      <w:t>Ascent Environmental</w:t>
    </w:r>
    <w:r w:rsidRPr="00D55292">
      <w:tab/>
    </w:r>
    <w:r w:rsidRPr="00D55292">
      <w:tab/>
    </w:r>
    <w:r>
      <w:rPr>
        <w:rFonts w:eastAsia="Times New Roman" w:cs="Arial"/>
      </w:rPr>
      <w:t>Noise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8C4" w14:textId="77777777" w:rsidR="00C66769" w:rsidRDefault="00C66769" w:rsidP="00FA47AA">
    <w:pPr>
      <w:pStyle w:val="Header"/>
      <w:pBdr>
        <w:bottom w:val="none" w:sz="0" w:space="0" w:color="auto"/>
      </w:pBdr>
      <w:jc w:val="center"/>
    </w:pPr>
    <w:r w:rsidRPr="00B352A5">
      <w:t>Draft for Internal Review and Deliberation</w:t>
    </w:r>
  </w:p>
  <w:p w14:paraId="0A8F0FFA" w14:textId="77777777" w:rsidR="00C66769" w:rsidRDefault="00C66769"/>
  <w:p w14:paraId="2A53CF5F" w14:textId="77777777" w:rsidR="00C66769" w:rsidRDefault="00C667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C98"/>
    <w:multiLevelType w:val="hybridMultilevel"/>
    <w:tmpl w:val="0DC2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B031E"/>
    <w:multiLevelType w:val="multilevel"/>
    <w:tmpl w:val="6B24B608"/>
    <w:lvl w:ilvl="0">
      <w:start w:val="3"/>
      <w:numFmt w:val="decimal"/>
      <w:pStyle w:val="Heading1"/>
      <w:lvlText w:val="%1"/>
      <w:lvlJc w:val="center"/>
      <w:pPr>
        <w:ind w:left="0" w:firstLine="0"/>
      </w:pPr>
      <w:rPr>
        <w:rFonts w:hint="default"/>
        <w:specVanish w:val="0"/>
      </w:rPr>
    </w:lvl>
    <w:lvl w:ilvl="1">
      <w:start w:val="13"/>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BA0F6C"/>
    <w:multiLevelType w:val="hybridMultilevel"/>
    <w:tmpl w:val="953E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E6A4A"/>
    <w:multiLevelType w:val="hybridMultilevel"/>
    <w:tmpl w:val="4CEC7E04"/>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2"/>
  </w:num>
  <w:num w:numId="4">
    <w:abstractNumId w:val="1"/>
  </w:num>
  <w:num w:numId="5">
    <w:abstractNumId w:val="7"/>
  </w:num>
  <w:num w:numId="6">
    <w:abstractNumId w:val="3"/>
  </w:num>
  <w:num w:numId="7">
    <w:abstractNumId w:val="11"/>
  </w:num>
  <w:num w:numId="8">
    <w:abstractNumId w:val="2"/>
  </w:num>
  <w:num w:numId="9">
    <w:abstractNumId w:val="5"/>
  </w:num>
  <w:num w:numId="10">
    <w:abstractNumId w:val="6"/>
  </w:num>
  <w:num w:numId="11">
    <w:abstractNumId w:val="0"/>
  </w:num>
  <w:num w:numId="12">
    <w:abstractNumId w:val="9"/>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lPfSggvuFErxMDevxxR6Dol437Wap6o3FlAGVJRS4MSjrS5m+CgOsmKWkSqdDAm80mgt4duxOZ+DhCd5F+iTxQ==" w:salt="f7yAN374w1rKP+Luj5LetA=="/>
  <w:defaultTabStop w:val="720"/>
  <w:evenAndOddHeaders/>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AC"/>
    <w:rsid w:val="0000139D"/>
    <w:rsid w:val="00001A56"/>
    <w:rsid w:val="00001BFE"/>
    <w:rsid w:val="00002CAA"/>
    <w:rsid w:val="000047F6"/>
    <w:rsid w:val="000052A3"/>
    <w:rsid w:val="000055CA"/>
    <w:rsid w:val="00006315"/>
    <w:rsid w:val="0000641B"/>
    <w:rsid w:val="00006D45"/>
    <w:rsid w:val="0000770B"/>
    <w:rsid w:val="00007A97"/>
    <w:rsid w:val="00012339"/>
    <w:rsid w:val="0001240E"/>
    <w:rsid w:val="00012498"/>
    <w:rsid w:val="000130AF"/>
    <w:rsid w:val="0001328E"/>
    <w:rsid w:val="00013B48"/>
    <w:rsid w:val="00013E6A"/>
    <w:rsid w:val="00014B87"/>
    <w:rsid w:val="00014CA7"/>
    <w:rsid w:val="00014EC1"/>
    <w:rsid w:val="000159C7"/>
    <w:rsid w:val="00016301"/>
    <w:rsid w:val="00020851"/>
    <w:rsid w:val="00021028"/>
    <w:rsid w:val="0002376E"/>
    <w:rsid w:val="000247AF"/>
    <w:rsid w:val="00024BA8"/>
    <w:rsid w:val="00026409"/>
    <w:rsid w:val="000264EA"/>
    <w:rsid w:val="00026587"/>
    <w:rsid w:val="00026F80"/>
    <w:rsid w:val="0002736C"/>
    <w:rsid w:val="00027CC4"/>
    <w:rsid w:val="00030618"/>
    <w:rsid w:val="000309D7"/>
    <w:rsid w:val="00031F2B"/>
    <w:rsid w:val="00032D90"/>
    <w:rsid w:val="00033442"/>
    <w:rsid w:val="000347E4"/>
    <w:rsid w:val="00035CE2"/>
    <w:rsid w:val="00035F6D"/>
    <w:rsid w:val="000366A3"/>
    <w:rsid w:val="000366DD"/>
    <w:rsid w:val="00036B93"/>
    <w:rsid w:val="000372E8"/>
    <w:rsid w:val="00040CA0"/>
    <w:rsid w:val="0004163D"/>
    <w:rsid w:val="00042295"/>
    <w:rsid w:val="000426A3"/>
    <w:rsid w:val="00045FFE"/>
    <w:rsid w:val="0004600A"/>
    <w:rsid w:val="00046313"/>
    <w:rsid w:val="000468C6"/>
    <w:rsid w:val="00046A51"/>
    <w:rsid w:val="00046DFA"/>
    <w:rsid w:val="0004752D"/>
    <w:rsid w:val="00047887"/>
    <w:rsid w:val="00050BC6"/>
    <w:rsid w:val="00050F7D"/>
    <w:rsid w:val="00052B95"/>
    <w:rsid w:val="00052E81"/>
    <w:rsid w:val="000531E4"/>
    <w:rsid w:val="00054087"/>
    <w:rsid w:val="00054B80"/>
    <w:rsid w:val="00054C9F"/>
    <w:rsid w:val="00055058"/>
    <w:rsid w:val="00061E40"/>
    <w:rsid w:val="00062DE3"/>
    <w:rsid w:val="00063DBB"/>
    <w:rsid w:val="0006604D"/>
    <w:rsid w:val="000665B4"/>
    <w:rsid w:val="00074ACD"/>
    <w:rsid w:val="00075482"/>
    <w:rsid w:val="000815EB"/>
    <w:rsid w:val="00081B55"/>
    <w:rsid w:val="000826E4"/>
    <w:rsid w:val="00082B43"/>
    <w:rsid w:val="000832E6"/>
    <w:rsid w:val="00084312"/>
    <w:rsid w:val="0008704A"/>
    <w:rsid w:val="0008745E"/>
    <w:rsid w:val="00090134"/>
    <w:rsid w:val="00090C1A"/>
    <w:rsid w:val="00092547"/>
    <w:rsid w:val="00092F79"/>
    <w:rsid w:val="00092FEC"/>
    <w:rsid w:val="00094001"/>
    <w:rsid w:val="00094C43"/>
    <w:rsid w:val="000956AE"/>
    <w:rsid w:val="00096C42"/>
    <w:rsid w:val="000978B8"/>
    <w:rsid w:val="000A0113"/>
    <w:rsid w:val="000A1C94"/>
    <w:rsid w:val="000A1E51"/>
    <w:rsid w:val="000A1E55"/>
    <w:rsid w:val="000A438F"/>
    <w:rsid w:val="000A4FB2"/>
    <w:rsid w:val="000A7014"/>
    <w:rsid w:val="000A7558"/>
    <w:rsid w:val="000A78AB"/>
    <w:rsid w:val="000B0586"/>
    <w:rsid w:val="000B11E6"/>
    <w:rsid w:val="000B1394"/>
    <w:rsid w:val="000B185D"/>
    <w:rsid w:val="000B2845"/>
    <w:rsid w:val="000B2FCF"/>
    <w:rsid w:val="000B3EC0"/>
    <w:rsid w:val="000B4B5E"/>
    <w:rsid w:val="000B7DDB"/>
    <w:rsid w:val="000C0C81"/>
    <w:rsid w:val="000C2269"/>
    <w:rsid w:val="000C22FE"/>
    <w:rsid w:val="000C2E4F"/>
    <w:rsid w:val="000C53D9"/>
    <w:rsid w:val="000C60E2"/>
    <w:rsid w:val="000C7451"/>
    <w:rsid w:val="000D0574"/>
    <w:rsid w:val="000D0593"/>
    <w:rsid w:val="000D2C79"/>
    <w:rsid w:val="000D4247"/>
    <w:rsid w:val="000D792E"/>
    <w:rsid w:val="000E07B4"/>
    <w:rsid w:val="000E3A72"/>
    <w:rsid w:val="000E3BE1"/>
    <w:rsid w:val="000E3C33"/>
    <w:rsid w:val="000E3C96"/>
    <w:rsid w:val="000E418D"/>
    <w:rsid w:val="000E438C"/>
    <w:rsid w:val="000E439C"/>
    <w:rsid w:val="000E4AF9"/>
    <w:rsid w:val="000E57AC"/>
    <w:rsid w:val="000E7284"/>
    <w:rsid w:val="000F0B63"/>
    <w:rsid w:val="000F167B"/>
    <w:rsid w:val="000F1FC3"/>
    <w:rsid w:val="000F2869"/>
    <w:rsid w:val="000F31CF"/>
    <w:rsid w:val="000F3866"/>
    <w:rsid w:val="000F39FC"/>
    <w:rsid w:val="000F4113"/>
    <w:rsid w:val="000F4534"/>
    <w:rsid w:val="000F5280"/>
    <w:rsid w:val="000F5E63"/>
    <w:rsid w:val="000F61D1"/>
    <w:rsid w:val="000F6DF5"/>
    <w:rsid w:val="000F6FD6"/>
    <w:rsid w:val="001007D3"/>
    <w:rsid w:val="00100CC0"/>
    <w:rsid w:val="00100CDF"/>
    <w:rsid w:val="00101232"/>
    <w:rsid w:val="001026CD"/>
    <w:rsid w:val="001035C7"/>
    <w:rsid w:val="001040F4"/>
    <w:rsid w:val="0010462B"/>
    <w:rsid w:val="0010497B"/>
    <w:rsid w:val="00104D4A"/>
    <w:rsid w:val="00105061"/>
    <w:rsid w:val="0010550D"/>
    <w:rsid w:val="00105C5E"/>
    <w:rsid w:val="00106092"/>
    <w:rsid w:val="001068C2"/>
    <w:rsid w:val="00106E0F"/>
    <w:rsid w:val="001078BF"/>
    <w:rsid w:val="00111F9D"/>
    <w:rsid w:val="0011325F"/>
    <w:rsid w:val="00113A7E"/>
    <w:rsid w:val="00117A28"/>
    <w:rsid w:val="0012078C"/>
    <w:rsid w:val="00120C1D"/>
    <w:rsid w:val="00120FBF"/>
    <w:rsid w:val="00122161"/>
    <w:rsid w:val="001234F3"/>
    <w:rsid w:val="0012419A"/>
    <w:rsid w:val="00124DE5"/>
    <w:rsid w:val="0012554E"/>
    <w:rsid w:val="00126858"/>
    <w:rsid w:val="00126D0B"/>
    <w:rsid w:val="001272B3"/>
    <w:rsid w:val="00134E1E"/>
    <w:rsid w:val="00135902"/>
    <w:rsid w:val="0014044D"/>
    <w:rsid w:val="001406B8"/>
    <w:rsid w:val="00140E73"/>
    <w:rsid w:val="00141540"/>
    <w:rsid w:val="00142E30"/>
    <w:rsid w:val="001444EF"/>
    <w:rsid w:val="001447BF"/>
    <w:rsid w:val="00145602"/>
    <w:rsid w:val="001459E5"/>
    <w:rsid w:val="00145C58"/>
    <w:rsid w:val="00146C67"/>
    <w:rsid w:val="00147EDF"/>
    <w:rsid w:val="0015003F"/>
    <w:rsid w:val="001504FE"/>
    <w:rsid w:val="001507CE"/>
    <w:rsid w:val="00151740"/>
    <w:rsid w:val="00151F6A"/>
    <w:rsid w:val="00152900"/>
    <w:rsid w:val="00152F70"/>
    <w:rsid w:val="00154329"/>
    <w:rsid w:val="001546A5"/>
    <w:rsid w:val="001546DD"/>
    <w:rsid w:val="00155AB2"/>
    <w:rsid w:val="00155D62"/>
    <w:rsid w:val="00155F1D"/>
    <w:rsid w:val="00156DCB"/>
    <w:rsid w:val="00157359"/>
    <w:rsid w:val="0015748E"/>
    <w:rsid w:val="001575C3"/>
    <w:rsid w:val="00157D53"/>
    <w:rsid w:val="0016152D"/>
    <w:rsid w:val="00162136"/>
    <w:rsid w:val="0016592B"/>
    <w:rsid w:val="00165CDF"/>
    <w:rsid w:val="00172275"/>
    <w:rsid w:val="001723B6"/>
    <w:rsid w:val="00172764"/>
    <w:rsid w:val="0017472D"/>
    <w:rsid w:val="00175747"/>
    <w:rsid w:val="00175B37"/>
    <w:rsid w:val="001761DB"/>
    <w:rsid w:val="00177A3F"/>
    <w:rsid w:val="0018567B"/>
    <w:rsid w:val="001861F1"/>
    <w:rsid w:val="0018799D"/>
    <w:rsid w:val="00187E2E"/>
    <w:rsid w:val="00190501"/>
    <w:rsid w:val="00192084"/>
    <w:rsid w:val="00192AD4"/>
    <w:rsid w:val="00193540"/>
    <w:rsid w:val="00193E1C"/>
    <w:rsid w:val="00195105"/>
    <w:rsid w:val="00195651"/>
    <w:rsid w:val="00195D58"/>
    <w:rsid w:val="00195F02"/>
    <w:rsid w:val="00195F31"/>
    <w:rsid w:val="00196A5F"/>
    <w:rsid w:val="00196FD1"/>
    <w:rsid w:val="00197AA2"/>
    <w:rsid w:val="001A112C"/>
    <w:rsid w:val="001A1A4A"/>
    <w:rsid w:val="001A1BB4"/>
    <w:rsid w:val="001A2E3D"/>
    <w:rsid w:val="001A3D26"/>
    <w:rsid w:val="001A4CC5"/>
    <w:rsid w:val="001A5D5E"/>
    <w:rsid w:val="001A62B9"/>
    <w:rsid w:val="001A7138"/>
    <w:rsid w:val="001B1248"/>
    <w:rsid w:val="001B2E6C"/>
    <w:rsid w:val="001B3F60"/>
    <w:rsid w:val="001B42BE"/>
    <w:rsid w:val="001B4387"/>
    <w:rsid w:val="001B7428"/>
    <w:rsid w:val="001B742F"/>
    <w:rsid w:val="001B7454"/>
    <w:rsid w:val="001C0E10"/>
    <w:rsid w:val="001C143D"/>
    <w:rsid w:val="001C1543"/>
    <w:rsid w:val="001C1671"/>
    <w:rsid w:val="001C1835"/>
    <w:rsid w:val="001C1985"/>
    <w:rsid w:val="001C32C3"/>
    <w:rsid w:val="001C387A"/>
    <w:rsid w:val="001C473E"/>
    <w:rsid w:val="001C6967"/>
    <w:rsid w:val="001D0441"/>
    <w:rsid w:val="001D141E"/>
    <w:rsid w:val="001D5178"/>
    <w:rsid w:val="001D594F"/>
    <w:rsid w:val="001D6BBE"/>
    <w:rsid w:val="001D75BA"/>
    <w:rsid w:val="001E07BF"/>
    <w:rsid w:val="001E0F84"/>
    <w:rsid w:val="001E1685"/>
    <w:rsid w:val="001E20E5"/>
    <w:rsid w:val="001E31F9"/>
    <w:rsid w:val="001E3818"/>
    <w:rsid w:val="001E48D0"/>
    <w:rsid w:val="001E6A65"/>
    <w:rsid w:val="001E7098"/>
    <w:rsid w:val="001E74C3"/>
    <w:rsid w:val="001F0071"/>
    <w:rsid w:val="001F0D4A"/>
    <w:rsid w:val="001F1A55"/>
    <w:rsid w:val="001F1CAD"/>
    <w:rsid w:val="001F1CB3"/>
    <w:rsid w:val="001F1D82"/>
    <w:rsid w:val="001F29B0"/>
    <w:rsid w:val="001F31AC"/>
    <w:rsid w:val="001F34D3"/>
    <w:rsid w:val="001F4004"/>
    <w:rsid w:val="001F436B"/>
    <w:rsid w:val="001F57AB"/>
    <w:rsid w:val="001F6996"/>
    <w:rsid w:val="001F6AA9"/>
    <w:rsid w:val="001F6C83"/>
    <w:rsid w:val="00201754"/>
    <w:rsid w:val="00201994"/>
    <w:rsid w:val="00201E75"/>
    <w:rsid w:val="0020249B"/>
    <w:rsid w:val="00202930"/>
    <w:rsid w:val="00202EAB"/>
    <w:rsid w:val="0020452E"/>
    <w:rsid w:val="002055A4"/>
    <w:rsid w:val="00205E15"/>
    <w:rsid w:val="00207F24"/>
    <w:rsid w:val="00210C69"/>
    <w:rsid w:val="00210F20"/>
    <w:rsid w:val="00211B36"/>
    <w:rsid w:val="00215ADE"/>
    <w:rsid w:val="0021696E"/>
    <w:rsid w:val="00217355"/>
    <w:rsid w:val="002201EB"/>
    <w:rsid w:val="002210BC"/>
    <w:rsid w:val="00222315"/>
    <w:rsid w:val="00222415"/>
    <w:rsid w:val="002228D2"/>
    <w:rsid w:val="00223D24"/>
    <w:rsid w:val="002243F5"/>
    <w:rsid w:val="002252EC"/>
    <w:rsid w:val="00230164"/>
    <w:rsid w:val="0023030C"/>
    <w:rsid w:val="002323FF"/>
    <w:rsid w:val="00233C54"/>
    <w:rsid w:val="00234303"/>
    <w:rsid w:val="0023495A"/>
    <w:rsid w:val="0023587E"/>
    <w:rsid w:val="00236901"/>
    <w:rsid w:val="0023726F"/>
    <w:rsid w:val="00241FD6"/>
    <w:rsid w:val="00243FDF"/>
    <w:rsid w:val="00244A45"/>
    <w:rsid w:val="00244E18"/>
    <w:rsid w:val="00244ED8"/>
    <w:rsid w:val="0024541E"/>
    <w:rsid w:val="00245E5C"/>
    <w:rsid w:val="0024778A"/>
    <w:rsid w:val="00250249"/>
    <w:rsid w:val="00252980"/>
    <w:rsid w:val="002532DD"/>
    <w:rsid w:val="00253784"/>
    <w:rsid w:val="00254181"/>
    <w:rsid w:val="0025508D"/>
    <w:rsid w:val="002553ED"/>
    <w:rsid w:val="002555DD"/>
    <w:rsid w:val="002563E2"/>
    <w:rsid w:val="00256779"/>
    <w:rsid w:val="0025796A"/>
    <w:rsid w:val="0026029A"/>
    <w:rsid w:val="00261D6E"/>
    <w:rsid w:val="00263AE5"/>
    <w:rsid w:val="00265D63"/>
    <w:rsid w:val="00266B90"/>
    <w:rsid w:val="002679F5"/>
    <w:rsid w:val="00267E97"/>
    <w:rsid w:val="0027130A"/>
    <w:rsid w:val="00273736"/>
    <w:rsid w:val="00273796"/>
    <w:rsid w:val="002739C9"/>
    <w:rsid w:val="002748F0"/>
    <w:rsid w:val="00275124"/>
    <w:rsid w:val="0027519D"/>
    <w:rsid w:val="00276D16"/>
    <w:rsid w:val="0027727A"/>
    <w:rsid w:val="002779B2"/>
    <w:rsid w:val="00277AD7"/>
    <w:rsid w:val="002800C9"/>
    <w:rsid w:val="002817E1"/>
    <w:rsid w:val="00281DFF"/>
    <w:rsid w:val="0028262C"/>
    <w:rsid w:val="00282FDD"/>
    <w:rsid w:val="00283608"/>
    <w:rsid w:val="00283AFB"/>
    <w:rsid w:val="00283EC5"/>
    <w:rsid w:val="00285B3C"/>
    <w:rsid w:val="00286E2F"/>
    <w:rsid w:val="00291E0F"/>
    <w:rsid w:val="002926CA"/>
    <w:rsid w:val="00292E24"/>
    <w:rsid w:val="00294F66"/>
    <w:rsid w:val="00295848"/>
    <w:rsid w:val="00295BE2"/>
    <w:rsid w:val="0029727A"/>
    <w:rsid w:val="00297DD2"/>
    <w:rsid w:val="00297F9F"/>
    <w:rsid w:val="002A0D61"/>
    <w:rsid w:val="002A48A4"/>
    <w:rsid w:val="002A554B"/>
    <w:rsid w:val="002A6BD6"/>
    <w:rsid w:val="002A7BF0"/>
    <w:rsid w:val="002B1909"/>
    <w:rsid w:val="002B24CB"/>
    <w:rsid w:val="002B347F"/>
    <w:rsid w:val="002B379E"/>
    <w:rsid w:val="002B3C94"/>
    <w:rsid w:val="002B4254"/>
    <w:rsid w:val="002B51C5"/>
    <w:rsid w:val="002B5482"/>
    <w:rsid w:val="002B570C"/>
    <w:rsid w:val="002B6A6C"/>
    <w:rsid w:val="002B6AE3"/>
    <w:rsid w:val="002B7CBC"/>
    <w:rsid w:val="002C1406"/>
    <w:rsid w:val="002C3CB7"/>
    <w:rsid w:val="002C45C1"/>
    <w:rsid w:val="002C465B"/>
    <w:rsid w:val="002C7099"/>
    <w:rsid w:val="002C7F04"/>
    <w:rsid w:val="002D01F9"/>
    <w:rsid w:val="002D09C9"/>
    <w:rsid w:val="002D0B10"/>
    <w:rsid w:val="002D12B9"/>
    <w:rsid w:val="002D51B8"/>
    <w:rsid w:val="002D526E"/>
    <w:rsid w:val="002D64E3"/>
    <w:rsid w:val="002D6978"/>
    <w:rsid w:val="002D6FF0"/>
    <w:rsid w:val="002D7269"/>
    <w:rsid w:val="002D7A81"/>
    <w:rsid w:val="002E4425"/>
    <w:rsid w:val="002E4741"/>
    <w:rsid w:val="002E4E02"/>
    <w:rsid w:val="002E5B50"/>
    <w:rsid w:val="002E68D1"/>
    <w:rsid w:val="002E6E1D"/>
    <w:rsid w:val="002E78BA"/>
    <w:rsid w:val="002F00DB"/>
    <w:rsid w:val="002F045D"/>
    <w:rsid w:val="002F0948"/>
    <w:rsid w:val="002F0CB7"/>
    <w:rsid w:val="002F2BDD"/>
    <w:rsid w:val="002F35BD"/>
    <w:rsid w:val="002F5734"/>
    <w:rsid w:val="002F7942"/>
    <w:rsid w:val="00300FAA"/>
    <w:rsid w:val="0030140B"/>
    <w:rsid w:val="00301B0A"/>
    <w:rsid w:val="00304F33"/>
    <w:rsid w:val="00305244"/>
    <w:rsid w:val="0030635C"/>
    <w:rsid w:val="00306C97"/>
    <w:rsid w:val="00307692"/>
    <w:rsid w:val="00310E72"/>
    <w:rsid w:val="00311890"/>
    <w:rsid w:val="00312714"/>
    <w:rsid w:val="00312EDD"/>
    <w:rsid w:val="00314F2C"/>
    <w:rsid w:val="00314FDB"/>
    <w:rsid w:val="00315FFA"/>
    <w:rsid w:val="0031654C"/>
    <w:rsid w:val="00316AA8"/>
    <w:rsid w:val="00317399"/>
    <w:rsid w:val="00317541"/>
    <w:rsid w:val="00317CE7"/>
    <w:rsid w:val="003216F0"/>
    <w:rsid w:val="003222E5"/>
    <w:rsid w:val="00322598"/>
    <w:rsid w:val="00323A21"/>
    <w:rsid w:val="0032422D"/>
    <w:rsid w:val="00326C69"/>
    <w:rsid w:val="003306A8"/>
    <w:rsid w:val="00333043"/>
    <w:rsid w:val="00334D40"/>
    <w:rsid w:val="003357F6"/>
    <w:rsid w:val="003370D4"/>
    <w:rsid w:val="0033710D"/>
    <w:rsid w:val="00340624"/>
    <w:rsid w:val="00340EDC"/>
    <w:rsid w:val="00342C0D"/>
    <w:rsid w:val="00342CE7"/>
    <w:rsid w:val="003440E9"/>
    <w:rsid w:val="0034459E"/>
    <w:rsid w:val="003449DE"/>
    <w:rsid w:val="00344C6D"/>
    <w:rsid w:val="00347C87"/>
    <w:rsid w:val="00347CA9"/>
    <w:rsid w:val="0035022C"/>
    <w:rsid w:val="0035088D"/>
    <w:rsid w:val="00350DB1"/>
    <w:rsid w:val="00351DFB"/>
    <w:rsid w:val="0035223D"/>
    <w:rsid w:val="00353E83"/>
    <w:rsid w:val="003541B3"/>
    <w:rsid w:val="00354B00"/>
    <w:rsid w:val="0035700A"/>
    <w:rsid w:val="003601AB"/>
    <w:rsid w:val="00360A26"/>
    <w:rsid w:val="00360A7F"/>
    <w:rsid w:val="00361334"/>
    <w:rsid w:val="00361846"/>
    <w:rsid w:val="00361C02"/>
    <w:rsid w:val="00362483"/>
    <w:rsid w:val="00362C68"/>
    <w:rsid w:val="0036336E"/>
    <w:rsid w:val="0036470A"/>
    <w:rsid w:val="00371E9B"/>
    <w:rsid w:val="00371F79"/>
    <w:rsid w:val="003725FC"/>
    <w:rsid w:val="00372D99"/>
    <w:rsid w:val="00372F0E"/>
    <w:rsid w:val="00374A8E"/>
    <w:rsid w:val="00374CFD"/>
    <w:rsid w:val="00375622"/>
    <w:rsid w:val="00375722"/>
    <w:rsid w:val="00380732"/>
    <w:rsid w:val="00382277"/>
    <w:rsid w:val="00383471"/>
    <w:rsid w:val="003837AB"/>
    <w:rsid w:val="00384D17"/>
    <w:rsid w:val="00385154"/>
    <w:rsid w:val="00385CB4"/>
    <w:rsid w:val="003865EF"/>
    <w:rsid w:val="00387CCF"/>
    <w:rsid w:val="0039048E"/>
    <w:rsid w:val="00391E89"/>
    <w:rsid w:val="003924C0"/>
    <w:rsid w:val="00393659"/>
    <w:rsid w:val="003936ED"/>
    <w:rsid w:val="00395AEA"/>
    <w:rsid w:val="00395DD7"/>
    <w:rsid w:val="00395F11"/>
    <w:rsid w:val="00397330"/>
    <w:rsid w:val="003976EA"/>
    <w:rsid w:val="00397EE4"/>
    <w:rsid w:val="003A0038"/>
    <w:rsid w:val="003A10DF"/>
    <w:rsid w:val="003A16F5"/>
    <w:rsid w:val="003A1F01"/>
    <w:rsid w:val="003A2AC4"/>
    <w:rsid w:val="003A4256"/>
    <w:rsid w:val="003A54AE"/>
    <w:rsid w:val="003B0E83"/>
    <w:rsid w:val="003B12EE"/>
    <w:rsid w:val="003B1AC6"/>
    <w:rsid w:val="003B1C51"/>
    <w:rsid w:val="003B1C81"/>
    <w:rsid w:val="003B21BD"/>
    <w:rsid w:val="003B268B"/>
    <w:rsid w:val="003B3DCB"/>
    <w:rsid w:val="003B50DE"/>
    <w:rsid w:val="003B6ECA"/>
    <w:rsid w:val="003B76D0"/>
    <w:rsid w:val="003B798C"/>
    <w:rsid w:val="003C09B6"/>
    <w:rsid w:val="003C29A0"/>
    <w:rsid w:val="003C2CC6"/>
    <w:rsid w:val="003C4A92"/>
    <w:rsid w:val="003C4D91"/>
    <w:rsid w:val="003C5D43"/>
    <w:rsid w:val="003C7217"/>
    <w:rsid w:val="003D132F"/>
    <w:rsid w:val="003D16EF"/>
    <w:rsid w:val="003D3996"/>
    <w:rsid w:val="003D7AB8"/>
    <w:rsid w:val="003D7C71"/>
    <w:rsid w:val="003E0223"/>
    <w:rsid w:val="003E0A62"/>
    <w:rsid w:val="003E0CA1"/>
    <w:rsid w:val="003E10E8"/>
    <w:rsid w:val="003E251D"/>
    <w:rsid w:val="003E3426"/>
    <w:rsid w:val="003E3AE1"/>
    <w:rsid w:val="003E3CCF"/>
    <w:rsid w:val="003E3DD5"/>
    <w:rsid w:val="003E50C2"/>
    <w:rsid w:val="003E5FAB"/>
    <w:rsid w:val="003E69E6"/>
    <w:rsid w:val="003E6BE7"/>
    <w:rsid w:val="003E7208"/>
    <w:rsid w:val="003E7A77"/>
    <w:rsid w:val="003E7C1C"/>
    <w:rsid w:val="003F0154"/>
    <w:rsid w:val="003F088B"/>
    <w:rsid w:val="003F0DC2"/>
    <w:rsid w:val="003F37AC"/>
    <w:rsid w:val="003F3AC6"/>
    <w:rsid w:val="003F4B02"/>
    <w:rsid w:val="003F4CBE"/>
    <w:rsid w:val="003F5A9F"/>
    <w:rsid w:val="003F5C28"/>
    <w:rsid w:val="003F6373"/>
    <w:rsid w:val="00400F63"/>
    <w:rsid w:val="0040167D"/>
    <w:rsid w:val="0040217A"/>
    <w:rsid w:val="00402F5A"/>
    <w:rsid w:val="00403698"/>
    <w:rsid w:val="00404894"/>
    <w:rsid w:val="00405AD4"/>
    <w:rsid w:val="0041200D"/>
    <w:rsid w:val="00414DF7"/>
    <w:rsid w:val="004162AB"/>
    <w:rsid w:val="00416D5D"/>
    <w:rsid w:val="00420595"/>
    <w:rsid w:val="00420D53"/>
    <w:rsid w:val="00421D2D"/>
    <w:rsid w:val="00422460"/>
    <w:rsid w:val="004224FB"/>
    <w:rsid w:val="0042304D"/>
    <w:rsid w:val="00423463"/>
    <w:rsid w:val="00425518"/>
    <w:rsid w:val="00425D0C"/>
    <w:rsid w:val="00425E13"/>
    <w:rsid w:val="00426E47"/>
    <w:rsid w:val="00427249"/>
    <w:rsid w:val="00427422"/>
    <w:rsid w:val="0042778F"/>
    <w:rsid w:val="0043135E"/>
    <w:rsid w:val="004314A6"/>
    <w:rsid w:val="00432D2C"/>
    <w:rsid w:val="004332B2"/>
    <w:rsid w:val="00435A90"/>
    <w:rsid w:val="00435BC0"/>
    <w:rsid w:val="00435F3F"/>
    <w:rsid w:val="00436C8F"/>
    <w:rsid w:val="00436D76"/>
    <w:rsid w:val="004372A1"/>
    <w:rsid w:val="004401E7"/>
    <w:rsid w:val="00440A3C"/>
    <w:rsid w:val="00443E17"/>
    <w:rsid w:val="004448F0"/>
    <w:rsid w:val="00445C58"/>
    <w:rsid w:val="004467D1"/>
    <w:rsid w:val="004469D3"/>
    <w:rsid w:val="00446C8D"/>
    <w:rsid w:val="00450ED6"/>
    <w:rsid w:val="004515CC"/>
    <w:rsid w:val="00451744"/>
    <w:rsid w:val="00451D71"/>
    <w:rsid w:val="00451FE8"/>
    <w:rsid w:val="004525DD"/>
    <w:rsid w:val="004529CC"/>
    <w:rsid w:val="00452E5C"/>
    <w:rsid w:val="00453AF1"/>
    <w:rsid w:val="00453CE6"/>
    <w:rsid w:val="00455F9D"/>
    <w:rsid w:val="00456323"/>
    <w:rsid w:val="0046024A"/>
    <w:rsid w:val="004624B4"/>
    <w:rsid w:val="004643F0"/>
    <w:rsid w:val="0047088B"/>
    <w:rsid w:val="0047099C"/>
    <w:rsid w:val="00471FFC"/>
    <w:rsid w:val="0047222F"/>
    <w:rsid w:val="004737CF"/>
    <w:rsid w:val="00474B8C"/>
    <w:rsid w:val="00474D0E"/>
    <w:rsid w:val="004753A9"/>
    <w:rsid w:val="00475791"/>
    <w:rsid w:val="00475BF5"/>
    <w:rsid w:val="00477814"/>
    <w:rsid w:val="00480017"/>
    <w:rsid w:val="0048005D"/>
    <w:rsid w:val="00481270"/>
    <w:rsid w:val="00483B26"/>
    <w:rsid w:val="00484137"/>
    <w:rsid w:val="00491404"/>
    <w:rsid w:val="00491732"/>
    <w:rsid w:val="004926C5"/>
    <w:rsid w:val="004941E0"/>
    <w:rsid w:val="00496382"/>
    <w:rsid w:val="00496ED1"/>
    <w:rsid w:val="004A1E4C"/>
    <w:rsid w:val="004A215C"/>
    <w:rsid w:val="004A348C"/>
    <w:rsid w:val="004A451E"/>
    <w:rsid w:val="004A547A"/>
    <w:rsid w:val="004A598D"/>
    <w:rsid w:val="004A5B92"/>
    <w:rsid w:val="004B07E5"/>
    <w:rsid w:val="004B4015"/>
    <w:rsid w:val="004B63E6"/>
    <w:rsid w:val="004B741B"/>
    <w:rsid w:val="004B7483"/>
    <w:rsid w:val="004B7612"/>
    <w:rsid w:val="004C197F"/>
    <w:rsid w:val="004C1ECD"/>
    <w:rsid w:val="004C2262"/>
    <w:rsid w:val="004C2540"/>
    <w:rsid w:val="004C3B24"/>
    <w:rsid w:val="004C40E1"/>
    <w:rsid w:val="004C4256"/>
    <w:rsid w:val="004C4CE6"/>
    <w:rsid w:val="004C6049"/>
    <w:rsid w:val="004C76EF"/>
    <w:rsid w:val="004D2389"/>
    <w:rsid w:val="004D2447"/>
    <w:rsid w:val="004D24FD"/>
    <w:rsid w:val="004D27DB"/>
    <w:rsid w:val="004D3452"/>
    <w:rsid w:val="004D5D00"/>
    <w:rsid w:val="004D6FC6"/>
    <w:rsid w:val="004D79A1"/>
    <w:rsid w:val="004D7B29"/>
    <w:rsid w:val="004E4D68"/>
    <w:rsid w:val="004E5DE9"/>
    <w:rsid w:val="004E719C"/>
    <w:rsid w:val="004E7592"/>
    <w:rsid w:val="004E75F6"/>
    <w:rsid w:val="004E7775"/>
    <w:rsid w:val="004E78F9"/>
    <w:rsid w:val="004E79A2"/>
    <w:rsid w:val="004F00D6"/>
    <w:rsid w:val="004F1920"/>
    <w:rsid w:val="004F50B2"/>
    <w:rsid w:val="004F5C3C"/>
    <w:rsid w:val="004F77C9"/>
    <w:rsid w:val="004F799C"/>
    <w:rsid w:val="004F7BC9"/>
    <w:rsid w:val="005001B2"/>
    <w:rsid w:val="0050076B"/>
    <w:rsid w:val="0050107B"/>
    <w:rsid w:val="00501F97"/>
    <w:rsid w:val="0050206F"/>
    <w:rsid w:val="005020E7"/>
    <w:rsid w:val="0050217E"/>
    <w:rsid w:val="005027A7"/>
    <w:rsid w:val="00502C3D"/>
    <w:rsid w:val="00503506"/>
    <w:rsid w:val="005036B2"/>
    <w:rsid w:val="0050375C"/>
    <w:rsid w:val="00504A91"/>
    <w:rsid w:val="0050535A"/>
    <w:rsid w:val="00506DB3"/>
    <w:rsid w:val="00507278"/>
    <w:rsid w:val="00507B30"/>
    <w:rsid w:val="0051002A"/>
    <w:rsid w:val="00511217"/>
    <w:rsid w:val="0051217B"/>
    <w:rsid w:val="005131D1"/>
    <w:rsid w:val="00513D9B"/>
    <w:rsid w:val="0051402D"/>
    <w:rsid w:val="005144CD"/>
    <w:rsid w:val="005149F7"/>
    <w:rsid w:val="00514AC4"/>
    <w:rsid w:val="00515461"/>
    <w:rsid w:val="0051602C"/>
    <w:rsid w:val="00516262"/>
    <w:rsid w:val="00516CB7"/>
    <w:rsid w:val="00517068"/>
    <w:rsid w:val="00521758"/>
    <w:rsid w:val="00521A53"/>
    <w:rsid w:val="00522B98"/>
    <w:rsid w:val="00523033"/>
    <w:rsid w:val="005236B1"/>
    <w:rsid w:val="00523CAF"/>
    <w:rsid w:val="00523D48"/>
    <w:rsid w:val="00525318"/>
    <w:rsid w:val="00525419"/>
    <w:rsid w:val="005257A0"/>
    <w:rsid w:val="00525F39"/>
    <w:rsid w:val="00526741"/>
    <w:rsid w:val="00526E67"/>
    <w:rsid w:val="005274AC"/>
    <w:rsid w:val="00527C5E"/>
    <w:rsid w:val="00530492"/>
    <w:rsid w:val="00530865"/>
    <w:rsid w:val="0053135A"/>
    <w:rsid w:val="00532F3B"/>
    <w:rsid w:val="00533A70"/>
    <w:rsid w:val="00535C10"/>
    <w:rsid w:val="005363FD"/>
    <w:rsid w:val="00536495"/>
    <w:rsid w:val="005412BF"/>
    <w:rsid w:val="00541363"/>
    <w:rsid w:val="00542ABB"/>
    <w:rsid w:val="005440E5"/>
    <w:rsid w:val="00544AD4"/>
    <w:rsid w:val="00544B19"/>
    <w:rsid w:val="00544FC3"/>
    <w:rsid w:val="005454CF"/>
    <w:rsid w:val="00545A8D"/>
    <w:rsid w:val="00545DE3"/>
    <w:rsid w:val="0054644D"/>
    <w:rsid w:val="00547C9E"/>
    <w:rsid w:val="005531B7"/>
    <w:rsid w:val="0055361B"/>
    <w:rsid w:val="00553B31"/>
    <w:rsid w:val="005542EE"/>
    <w:rsid w:val="0055449F"/>
    <w:rsid w:val="00554BD6"/>
    <w:rsid w:val="00554FEB"/>
    <w:rsid w:val="00556212"/>
    <w:rsid w:val="00557913"/>
    <w:rsid w:val="00557994"/>
    <w:rsid w:val="00560232"/>
    <w:rsid w:val="0056094F"/>
    <w:rsid w:val="00563B67"/>
    <w:rsid w:val="005646C4"/>
    <w:rsid w:val="00565212"/>
    <w:rsid w:val="0056592D"/>
    <w:rsid w:val="00565F76"/>
    <w:rsid w:val="00566343"/>
    <w:rsid w:val="005669DE"/>
    <w:rsid w:val="00570507"/>
    <w:rsid w:val="00570F93"/>
    <w:rsid w:val="00570FE9"/>
    <w:rsid w:val="005717CD"/>
    <w:rsid w:val="005719A7"/>
    <w:rsid w:val="00577A3F"/>
    <w:rsid w:val="0058017D"/>
    <w:rsid w:val="00581DAC"/>
    <w:rsid w:val="0058308C"/>
    <w:rsid w:val="00584867"/>
    <w:rsid w:val="005856F6"/>
    <w:rsid w:val="0058638B"/>
    <w:rsid w:val="005909CD"/>
    <w:rsid w:val="00591058"/>
    <w:rsid w:val="00591213"/>
    <w:rsid w:val="005913CA"/>
    <w:rsid w:val="00592804"/>
    <w:rsid w:val="00592D5A"/>
    <w:rsid w:val="0059350E"/>
    <w:rsid w:val="00593D58"/>
    <w:rsid w:val="0059603D"/>
    <w:rsid w:val="0059663B"/>
    <w:rsid w:val="00597148"/>
    <w:rsid w:val="005A1EAC"/>
    <w:rsid w:val="005A279D"/>
    <w:rsid w:val="005A4155"/>
    <w:rsid w:val="005A41F6"/>
    <w:rsid w:val="005A5244"/>
    <w:rsid w:val="005A5AD3"/>
    <w:rsid w:val="005A5B97"/>
    <w:rsid w:val="005A7131"/>
    <w:rsid w:val="005A7392"/>
    <w:rsid w:val="005B00A9"/>
    <w:rsid w:val="005B01B6"/>
    <w:rsid w:val="005B28CE"/>
    <w:rsid w:val="005B28E5"/>
    <w:rsid w:val="005B31FA"/>
    <w:rsid w:val="005B3F1D"/>
    <w:rsid w:val="005B68EE"/>
    <w:rsid w:val="005B6D69"/>
    <w:rsid w:val="005B7446"/>
    <w:rsid w:val="005B7E8E"/>
    <w:rsid w:val="005C00FB"/>
    <w:rsid w:val="005C13E0"/>
    <w:rsid w:val="005C26A1"/>
    <w:rsid w:val="005C3F59"/>
    <w:rsid w:val="005C4392"/>
    <w:rsid w:val="005C7C17"/>
    <w:rsid w:val="005C7FC7"/>
    <w:rsid w:val="005D057C"/>
    <w:rsid w:val="005D1321"/>
    <w:rsid w:val="005D32DE"/>
    <w:rsid w:val="005D4693"/>
    <w:rsid w:val="005D4D32"/>
    <w:rsid w:val="005D4F21"/>
    <w:rsid w:val="005D5285"/>
    <w:rsid w:val="005E00C0"/>
    <w:rsid w:val="005E0C0B"/>
    <w:rsid w:val="005E1DF2"/>
    <w:rsid w:val="005E2047"/>
    <w:rsid w:val="005E20D3"/>
    <w:rsid w:val="005E2AC0"/>
    <w:rsid w:val="005E38A1"/>
    <w:rsid w:val="005E4262"/>
    <w:rsid w:val="005E78AC"/>
    <w:rsid w:val="005F0AE6"/>
    <w:rsid w:val="005F2036"/>
    <w:rsid w:val="005F4212"/>
    <w:rsid w:val="005F527C"/>
    <w:rsid w:val="005F571F"/>
    <w:rsid w:val="005F5C42"/>
    <w:rsid w:val="005F676C"/>
    <w:rsid w:val="006001BD"/>
    <w:rsid w:val="00600507"/>
    <w:rsid w:val="006021CD"/>
    <w:rsid w:val="00603DE4"/>
    <w:rsid w:val="00604DA7"/>
    <w:rsid w:val="006069DE"/>
    <w:rsid w:val="0060770E"/>
    <w:rsid w:val="00607E8F"/>
    <w:rsid w:val="0061151A"/>
    <w:rsid w:val="00612380"/>
    <w:rsid w:val="006123A9"/>
    <w:rsid w:val="00614D02"/>
    <w:rsid w:val="00614EBB"/>
    <w:rsid w:val="00615A09"/>
    <w:rsid w:val="00615D63"/>
    <w:rsid w:val="00615FAD"/>
    <w:rsid w:val="00616427"/>
    <w:rsid w:val="00617396"/>
    <w:rsid w:val="0061786C"/>
    <w:rsid w:val="006208DA"/>
    <w:rsid w:val="006215C0"/>
    <w:rsid w:val="006236E2"/>
    <w:rsid w:val="006240BD"/>
    <w:rsid w:val="00624E5E"/>
    <w:rsid w:val="00625140"/>
    <w:rsid w:val="006262A1"/>
    <w:rsid w:val="00626FB7"/>
    <w:rsid w:val="00631448"/>
    <w:rsid w:val="00631812"/>
    <w:rsid w:val="0063255E"/>
    <w:rsid w:val="00633BDE"/>
    <w:rsid w:val="00635041"/>
    <w:rsid w:val="006354BD"/>
    <w:rsid w:val="00635878"/>
    <w:rsid w:val="00635B48"/>
    <w:rsid w:val="00635D19"/>
    <w:rsid w:val="00637172"/>
    <w:rsid w:val="00637741"/>
    <w:rsid w:val="00640D7A"/>
    <w:rsid w:val="00640F60"/>
    <w:rsid w:val="006420A5"/>
    <w:rsid w:val="00643E39"/>
    <w:rsid w:val="00646C14"/>
    <w:rsid w:val="006471C7"/>
    <w:rsid w:val="00647821"/>
    <w:rsid w:val="00650125"/>
    <w:rsid w:val="006514AB"/>
    <w:rsid w:val="006521B7"/>
    <w:rsid w:val="00652642"/>
    <w:rsid w:val="006527A0"/>
    <w:rsid w:val="00655C00"/>
    <w:rsid w:val="0065661C"/>
    <w:rsid w:val="00661718"/>
    <w:rsid w:val="00663166"/>
    <w:rsid w:val="00664F5F"/>
    <w:rsid w:val="00665AB9"/>
    <w:rsid w:val="006665E4"/>
    <w:rsid w:val="00666B29"/>
    <w:rsid w:val="006679F3"/>
    <w:rsid w:val="00670B83"/>
    <w:rsid w:val="00670DEA"/>
    <w:rsid w:val="00673D33"/>
    <w:rsid w:val="00674212"/>
    <w:rsid w:val="0067427F"/>
    <w:rsid w:val="0067622C"/>
    <w:rsid w:val="006765A4"/>
    <w:rsid w:val="00677091"/>
    <w:rsid w:val="006775F5"/>
    <w:rsid w:val="00677621"/>
    <w:rsid w:val="00677CD3"/>
    <w:rsid w:val="00680531"/>
    <w:rsid w:val="006813C4"/>
    <w:rsid w:val="00683728"/>
    <w:rsid w:val="00683F0C"/>
    <w:rsid w:val="00684C0D"/>
    <w:rsid w:val="006851C0"/>
    <w:rsid w:val="006869EB"/>
    <w:rsid w:val="00686CDF"/>
    <w:rsid w:val="00686DDB"/>
    <w:rsid w:val="0069127B"/>
    <w:rsid w:val="006919C7"/>
    <w:rsid w:val="00695C22"/>
    <w:rsid w:val="0069676E"/>
    <w:rsid w:val="006A20DD"/>
    <w:rsid w:val="006A2150"/>
    <w:rsid w:val="006A311E"/>
    <w:rsid w:val="006A32FB"/>
    <w:rsid w:val="006A5283"/>
    <w:rsid w:val="006A570E"/>
    <w:rsid w:val="006A5A3D"/>
    <w:rsid w:val="006A6F0F"/>
    <w:rsid w:val="006A7CB1"/>
    <w:rsid w:val="006B0788"/>
    <w:rsid w:val="006B08B3"/>
    <w:rsid w:val="006B14F3"/>
    <w:rsid w:val="006B15BE"/>
    <w:rsid w:val="006B1944"/>
    <w:rsid w:val="006B1D1B"/>
    <w:rsid w:val="006B24CF"/>
    <w:rsid w:val="006B253F"/>
    <w:rsid w:val="006B276F"/>
    <w:rsid w:val="006B2D43"/>
    <w:rsid w:val="006B3396"/>
    <w:rsid w:val="006B3CAE"/>
    <w:rsid w:val="006C01DC"/>
    <w:rsid w:val="006C3C24"/>
    <w:rsid w:val="006C5A4D"/>
    <w:rsid w:val="006D103F"/>
    <w:rsid w:val="006D57D0"/>
    <w:rsid w:val="006E012E"/>
    <w:rsid w:val="006E036E"/>
    <w:rsid w:val="006E1339"/>
    <w:rsid w:val="006E2508"/>
    <w:rsid w:val="006E46C3"/>
    <w:rsid w:val="006E5312"/>
    <w:rsid w:val="006E5B1B"/>
    <w:rsid w:val="006E6C8A"/>
    <w:rsid w:val="006E706B"/>
    <w:rsid w:val="006F055F"/>
    <w:rsid w:val="006F08D0"/>
    <w:rsid w:val="006F09BF"/>
    <w:rsid w:val="006F2295"/>
    <w:rsid w:val="006F3019"/>
    <w:rsid w:val="00700184"/>
    <w:rsid w:val="00700385"/>
    <w:rsid w:val="00700BE8"/>
    <w:rsid w:val="007028FD"/>
    <w:rsid w:val="00702D55"/>
    <w:rsid w:val="007046C8"/>
    <w:rsid w:val="00704FB0"/>
    <w:rsid w:val="00705BF3"/>
    <w:rsid w:val="00706C24"/>
    <w:rsid w:val="00706D87"/>
    <w:rsid w:val="00710125"/>
    <w:rsid w:val="0071057A"/>
    <w:rsid w:val="007106B0"/>
    <w:rsid w:val="00710CC0"/>
    <w:rsid w:val="00711013"/>
    <w:rsid w:val="00711028"/>
    <w:rsid w:val="00711464"/>
    <w:rsid w:val="007116DB"/>
    <w:rsid w:val="0071176B"/>
    <w:rsid w:val="00711B61"/>
    <w:rsid w:val="0071363E"/>
    <w:rsid w:val="00713F93"/>
    <w:rsid w:val="00714724"/>
    <w:rsid w:val="007155D5"/>
    <w:rsid w:val="0071588E"/>
    <w:rsid w:val="0071595A"/>
    <w:rsid w:val="007168B5"/>
    <w:rsid w:val="00716C74"/>
    <w:rsid w:val="00717500"/>
    <w:rsid w:val="00722C76"/>
    <w:rsid w:val="00725664"/>
    <w:rsid w:val="00725FA9"/>
    <w:rsid w:val="00726E40"/>
    <w:rsid w:val="0072710F"/>
    <w:rsid w:val="00727AF2"/>
    <w:rsid w:val="00730723"/>
    <w:rsid w:val="00732604"/>
    <w:rsid w:val="00734ED3"/>
    <w:rsid w:val="00735BDA"/>
    <w:rsid w:val="0073681E"/>
    <w:rsid w:val="00736F1E"/>
    <w:rsid w:val="00737238"/>
    <w:rsid w:val="00740C3B"/>
    <w:rsid w:val="007411A4"/>
    <w:rsid w:val="00741AC9"/>
    <w:rsid w:val="0074277B"/>
    <w:rsid w:val="00743688"/>
    <w:rsid w:val="00744A3F"/>
    <w:rsid w:val="00744EEC"/>
    <w:rsid w:val="00746D0E"/>
    <w:rsid w:val="00751209"/>
    <w:rsid w:val="00752BC1"/>
    <w:rsid w:val="00752E8A"/>
    <w:rsid w:val="00754BD5"/>
    <w:rsid w:val="007567C6"/>
    <w:rsid w:val="00756B44"/>
    <w:rsid w:val="0075749A"/>
    <w:rsid w:val="0075794F"/>
    <w:rsid w:val="0076084A"/>
    <w:rsid w:val="00761373"/>
    <w:rsid w:val="00762653"/>
    <w:rsid w:val="00763E84"/>
    <w:rsid w:val="00764364"/>
    <w:rsid w:val="00765073"/>
    <w:rsid w:val="007653EA"/>
    <w:rsid w:val="00765CA8"/>
    <w:rsid w:val="00765D81"/>
    <w:rsid w:val="00770C8B"/>
    <w:rsid w:val="00770ECD"/>
    <w:rsid w:val="0077259E"/>
    <w:rsid w:val="007726D2"/>
    <w:rsid w:val="0077299E"/>
    <w:rsid w:val="0077385C"/>
    <w:rsid w:val="00774362"/>
    <w:rsid w:val="0077475F"/>
    <w:rsid w:val="007759A4"/>
    <w:rsid w:val="00776B3F"/>
    <w:rsid w:val="00776EAE"/>
    <w:rsid w:val="007779E9"/>
    <w:rsid w:val="00780E5C"/>
    <w:rsid w:val="00781531"/>
    <w:rsid w:val="00781555"/>
    <w:rsid w:val="007817E6"/>
    <w:rsid w:val="0078220A"/>
    <w:rsid w:val="00782AEE"/>
    <w:rsid w:val="007833A8"/>
    <w:rsid w:val="00785B96"/>
    <w:rsid w:val="00785BE4"/>
    <w:rsid w:val="007865FF"/>
    <w:rsid w:val="00787AFA"/>
    <w:rsid w:val="007906D7"/>
    <w:rsid w:val="00790DB0"/>
    <w:rsid w:val="00790FE0"/>
    <w:rsid w:val="0079200B"/>
    <w:rsid w:val="00792CD2"/>
    <w:rsid w:val="00792E42"/>
    <w:rsid w:val="0079311F"/>
    <w:rsid w:val="0079460E"/>
    <w:rsid w:val="0079461D"/>
    <w:rsid w:val="007949F1"/>
    <w:rsid w:val="00795B53"/>
    <w:rsid w:val="007960DA"/>
    <w:rsid w:val="007A0E2E"/>
    <w:rsid w:val="007A2C27"/>
    <w:rsid w:val="007A3C0D"/>
    <w:rsid w:val="007A5482"/>
    <w:rsid w:val="007A79E9"/>
    <w:rsid w:val="007B1D2F"/>
    <w:rsid w:val="007B2D09"/>
    <w:rsid w:val="007B2DBD"/>
    <w:rsid w:val="007B55CC"/>
    <w:rsid w:val="007B64A2"/>
    <w:rsid w:val="007B7AC7"/>
    <w:rsid w:val="007B7C51"/>
    <w:rsid w:val="007C01A7"/>
    <w:rsid w:val="007C0551"/>
    <w:rsid w:val="007C0F68"/>
    <w:rsid w:val="007C2D16"/>
    <w:rsid w:val="007C3D14"/>
    <w:rsid w:val="007C429B"/>
    <w:rsid w:val="007C4B16"/>
    <w:rsid w:val="007D27B8"/>
    <w:rsid w:val="007D3BD5"/>
    <w:rsid w:val="007D404B"/>
    <w:rsid w:val="007D5CA0"/>
    <w:rsid w:val="007D5DF2"/>
    <w:rsid w:val="007D65EE"/>
    <w:rsid w:val="007D6BEB"/>
    <w:rsid w:val="007D7134"/>
    <w:rsid w:val="007D731C"/>
    <w:rsid w:val="007E0221"/>
    <w:rsid w:val="007E0550"/>
    <w:rsid w:val="007E08F7"/>
    <w:rsid w:val="007E0CF9"/>
    <w:rsid w:val="007E2824"/>
    <w:rsid w:val="007E34B0"/>
    <w:rsid w:val="007E3B98"/>
    <w:rsid w:val="007E3BB6"/>
    <w:rsid w:val="007E3FCA"/>
    <w:rsid w:val="007E4686"/>
    <w:rsid w:val="007E4728"/>
    <w:rsid w:val="007E494B"/>
    <w:rsid w:val="007E4E74"/>
    <w:rsid w:val="007E5C15"/>
    <w:rsid w:val="007E5C2F"/>
    <w:rsid w:val="007E655D"/>
    <w:rsid w:val="007E6708"/>
    <w:rsid w:val="007E6F2C"/>
    <w:rsid w:val="007E790A"/>
    <w:rsid w:val="007F3C0E"/>
    <w:rsid w:val="007F44CD"/>
    <w:rsid w:val="007F4581"/>
    <w:rsid w:val="007F5113"/>
    <w:rsid w:val="007F53DB"/>
    <w:rsid w:val="007F7CD8"/>
    <w:rsid w:val="00800D91"/>
    <w:rsid w:val="008013F5"/>
    <w:rsid w:val="00805ABF"/>
    <w:rsid w:val="00806047"/>
    <w:rsid w:val="00807657"/>
    <w:rsid w:val="00810AFC"/>
    <w:rsid w:val="00811C8A"/>
    <w:rsid w:val="0081376D"/>
    <w:rsid w:val="00813770"/>
    <w:rsid w:val="0081519A"/>
    <w:rsid w:val="008162CB"/>
    <w:rsid w:val="00816828"/>
    <w:rsid w:val="00816886"/>
    <w:rsid w:val="0082373E"/>
    <w:rsid w:val="008245F0"/>
    <w:rsid w:val="00825FF2"/>
    <w:rsid w:val="00826259"/>
    <w:rsid w:val="008273F8"/>
    <w:rsid w:val="00830ECB"/>
    <w:rsid w:val="00831322"/>
    <w:rsid w:val="0083159E"/>
    <w:rsid w:val="00832214"/>
    <w:rsid w:val="00832DA1"/>
    <w:rsid w:val="00833282"/>
    <w:rsid w:val="00833F42"/>
    <w:rsid w:val="00833FB2"/>
    <w:rsid w:val="00834759"/>
    <w:rsid w:val="00834AF1"/>
    <w:rsid w:val="008370DB"/>
    <w:rsid w:val="008403EF"/>
    <w:rsid w:val="0084048A"/>
    <w:rsid w:val="0084110E"/>
    <w:rsid w:val="00842226"/>
    <w:rsid w:val="00843196"/>
    <w:rsid w:val="00844032"/>
    <w:rsid w:val="00844B3E"/>
    <w:rsid w:val="00844F5A"/>
    <w:rsid w:val="008456D2"/>
    <w:rsid w:val="0084646C"/>
    <w:rsid w:val="0084711F"/>
    <w:rsid w:val="0084767C"/>
    <w:rsid w:val="00850C1F"/>
    <w:rsid w:val="008513CF"/>
    <w:rsid w:val="00851A4C"/>
    <w:rsid w:val="008523E5"/>
    <w:rsid w:val="00853D0E"/>
    <w:rsid w:val="00853F0D"/>
    <w:rsid w:val="00854029"/>
    <w:rsid w:val="00854D0C"/>
    <w:rsid w:val="00855F3D"/>
    <w:rsid w:val="00856A69"/>
    <w:rsid w:val="008602B9"/>
    <w:rsid w:val="00860C30"/>
    <w:rsid w:val="00861541"/>
    <w:rsid w:val="00862014"/>
    <w:rsid w:val="008620AF"/>
    <w:rsid w:val="00865333"/>
    <w:rsid w:val="008655ED"/>
    <w:rsid w:val="00865814"/>
    <w:rsid w:val="008658D8"/>
    <w:rsid w:val="00865B11"/>
    <w:rsid w:val="00865E67"/>
    <w:rsid w:val="00871109"/>
    <w:rsid w:val="0087139A"/>
    <w:rsid w:val="0087168E"/>
    <w:rsid w:val="00871AEB"/>
    <w:rsid w:val="008762AB"/>
    <w:rsid w:val="00877E85"/>
    <w:rsid w:val="00881710"/>
    <w:rsid w:val="00884010"/>
    <w:rsid w:val="0088419C"/>
    <w:rsid w:val="008848ED"/>
    <w:rsid w:val="00885F9A"/>
    <w:rsid w:val="00886F61"/>
    <w:rsid w:val="00886F6F"/>
    <w:rsid w:val="008879C6"/>
    <w:rsid w:val="00890B9B"/>
    <w:rsid w:val="00892E82"/>
    <w:rsid w:val="00893148"/>
    <w:rsid w:val="008937F7"/>
    <w:rsid w:val="00894361"/>
    <w:rsid w:val="008943A5"/>
    <w:rsid w:val="0089462F"/>
    <w:rsid w:val="0089586B"/>
    <w:rsid w:val="00895C3D"/>
    <w:rsid w:val="00896178"/>
    <w:rsid w:val="00897A95"/>
    <w:rsid w:val="00897E6B"/>
    <w:rsid w:val="008A0AB3"/>
    <w:rsid w:val="008A128A"/>
    <w:rsid w:val="008A1483"/>
    <w:rsid w:val="008A1B07"/>
    <w:rsid w:val="008A4157"/>
    <w:rsid w:val="008A5AE5"/>
    <w:rsid w:val="008A5CBD"/>
    <w:rsid w:val="008A6A08"/>
    <w:rsid w:val="008A71AA"/>
    <w:rsid w:val="008A7325"/>
    <w:rsid w:val="008A7A84"/>
    <w:rsid w:val="008A7D25"/>
    <w:rsid w:val="008B0B41"/>
    <w:rsid w:val="008B2738"/>
    <w:rsid w:val="008B308F"/>
    <w:rsid w:val="008B458D"/>
    <w:rsid w:val="008B6CD1"/>
    <w:rsid w:val="008B72D8"/>
    <w:rsid w:val="008C173B"/>
    <w:rsid w:val="008C1BBC"/>
    <w:rsid w:val="008C3243"/>
    <w:rsid w:val="008C38B4"/>
    <w:rsid w:val="008C3A75"/>
    <w:rsid w:val="008D203E"/>
    <w:rsid w:val="008D31C6"/>
    <w:rsid w:val="008D3799"/>
    <w:rsid w:val="008D391E"/>
    <w:rsid w:val="008D58CF"/>
    <w:rsid w:val="008D60BE"/>
    <w:rsid w:val="008D650D"/>
    <w:rsid w:val="008D7AEE"/>
    <w:rsid w:val="008D7E41"/>
    <w:rsid w:val="008D7EC3"/>
    <w:rsid w:val="008E21B6"/>
    <w:rsid w:val="008E2929"/>
    <w:rsid w:val="008E439C"/>
    <w:rsid w:val="008E5163"/>
    <w:rsid w:val="008E5ACA"/>
    <w:rsid w:val="008E7668"/>
    <w:rsid w:val="008F0088"/>
    <w:rsid w:val="008F6AA0"/>
    <w:rsid w:val="008F6E16"/>
    <w:rsid w:val="00902D38"/>
    <w:rsid w:val="00902EF0"/>
    <w:rsid w:val="00903467"/>
    <w:rsid w:val="009043BC"/>
    <w:rsid w:val="009057F0"/>
    <w:rsid w:val="009062A3"/>
    <w:rsid w:val="009062DD"/>
    <w:rsid w:val="009073EE"/>
    <w:rsid w:val="00907D63"/>
    <w:rsid w:val="00907E8E"/>
    <w:rsid w:val="00910913"/>
    <w:rsid w:val="00911168"/>
    <w:rsid w:val="0091172D"/>
    <w:rsid w:val="00912978"/>
    <w:rsid w:val="00913890"/>
    <w:rsid w:val="009150FA"/>
    <w:rsid w:val="00915569"/>
    <w:rsid w:val="00915A8A"/>
    <w:rsid w:val="00915BFA"/>
    <w:rsid w:val="00917BB4"/>
    <w:rsid w:val="00923322"/>
    <w:rsid w:val="00923444"/>
    <w:rsid w:val="009240AA"/>
    <w:rsid w:val="00924DFF"/>
    <w:rsid w:val="00930866"/>
    <w:rsid w:val="00931818"/>
    <w:rsid w:val="0093227A"/>
    <w:rsid w:val="009328EF"/>
    <w:rsid w:val="00933640"/>
    <w:rsid w:val="0093442A"/>
    <w:rsid w:val="00935CAF"/>
    <w:rsid w:val="00941FF8"/>
    <w:rsid w:val="00942237"/>
    <w:rsid w:val="00942742"/>
    <w:rsid w:val="00943B72"/>
    <w:rsid w:val="0094426E"/>
    <w:rsid w:val="00944459"/>
    <w:rsid w:val="0094514C"/>
    <w:rsid w:val="00947C9D"/>
    <w:rsid w:val="00950334"/>
    <w:rsid w:val="009511A0"/>
    <w:rsid w:val="00951AD0"/>
    <w:rsid w:val="00952825"/>
    <w:rsid w:val="00953EEF"/>
    <w:rsid w:val="0095535F"/>
    <w:rsid w:val="00955681"/>
    <w:rsid w:val="00956D87"/>
    <w:rsid w:val="009604FA"/>
    <w:rsid w:val="00960923"/>
    <w:rsid w:val="009611A2"/>
    <w:rsid w:val="00962CB9"/>
    <w:rsid w:val="009642BB"/>
    <w:rsid w:val="0096479E"/>
    <w:rsid w:val="009650EF"/>
    <w:rsid w:val="00965356"/>
    <w:rsid w:val="00965C72"/>
    <w:rsid w:val="009663AB"/>
    <w:rsid w:val="00966C88"/>
    <w:rsid w:val="00970967"/>
    <w:rsid w:val="00970A90"/>
    <w:rsid w:val="00973E83"/>
    <w:rsid w:val="00974BF8"/>
    <w:rsid w:val="00975C54"/>
    <w:rsid w:val="00975FDA"/>
    <w:rsid w:val="00976062"/>
    <w:rsid w:val="009760B4"/>
    <w:rsid w:val="00976F2B"/>
    <w:rsid w:val="00976FC3"/>
    <w:rsid w:val="00983F6B"/>
    <w:rsid w:val="00984D79"/>
    <w:rsid w:val="00984DB0"/>
    <w:rsid w:val="009852BE"/>
    <w:rsid w:val="009860D0"/>
    <w:rsid w:val="00986E04"/>
    <w:rsid w:val="009901BD"/>
    <w:rsid w:val="00991AB8"/>
    <w:rsid w:val="00991E6E"/>
    <w:rsid w:val="009925A1"/>
    <w:rsid w:val="00993831"/>
    <w:rsid w:val="00994228"/>
    <w:rsid w:val="0099525B"/>
    <w:rsid w:val="009957A4"/>
    <w:rsid w:val="0099765F"/>
    <w:rsid w:val="00997D38"/>
    <w:rsid w:val="009A0A19"/>
    <w:rsid w:val="009A0F30"/>
    <w:rsid w:val="009A1801"/>
    <w:rsid w:val="009A1A9D"/>
    <w:rsid w:val="009A1B65"/>
    <w:rsid w:val="009A2255"/>
    <w:rsid w:val="009A3686"/>
    <w:rsid w:val="009A3ADC"/>
    <w:rsid w:val="009A3DEE"/>
    <w:rsid w:val="009A4813"/>
    <w:rsid w:val="009A6F4B"/>
    <w:rsid w:val="009A76B2"/>
    <w:rsid w:val="009A7C96"/>
    <w:rsid w:val="009B13B9"/>
    <w:rsid w:val="009B18C7"/>
    <w:rsid w:val="009B1A4D"/>
    <w:rsid w:val="009B3475"/>
    <w:rsid w:val="009B3B26"/>
    <w:rsid w:val="009B3B80"/>
    <w:rsid w:val="009B40BF"/>
    <w:rsid w:val="009B4658"/>
    <w:rsid w:val="009B4B33"/>
    <w:rsid w:val="009B5260"/>
    <w:rsid w:val="009B70FB"/>
    <w:rsid w:val="009B742A"/>
    <w:rsid w:val="009B77AD"/>
    <w:rsid w:val="009B7B83"/>
    <w:rsid w:val="009C0830"/>
    <w:rsid w:val="009C19EB"/>
    <w:rsid w:val="009C1D2E"/>
    <w:rsid w:val="009C27AF"/>
    <w:rsid w:val="009C2FB3"/>
    <w:rsid w:val="009C3479"/>
    <w:rsid w:val="009C457D"/>
    <w:rsid w:val="009C4773"/>
    <w:rsid w:val="009C5645"/>
    <w:rsid w:val="009C6282"/>
    <w:rsid w:val="009C7121"/>
    <w:rsid w:val="009C7A1A"/>
    <w:rsid w:val="009D2F9D"/>
    <w:rsid w:val="009D30AA"/>
    <w:rsid w:val="009D4E0B"/>
    <w:rsid w:val="009D62BD"/>
    <w:rsid w:val="009E0419"/>
    <w:rsid w:val="009E05A6"/>
    <w:rsid w:val="009E07BD"/>
    <w:rsid w:val="009E2086"/>
    <w:rsid w:val="009E2408"/>
    <w:rsid w:val="009E25F8"/>
    <w:rsid w:val="009E2D23"/>
    <w:rsid w:val="009E2FD3"/>
    <w:rsid w:val="009E3150"/>
    <w:rsid w:val="009E456A"/>
    <w:rsid w:val="009E5C01"/>
    <w:rsid w:val="009E685B"/>
    <w:rsid w:val="009E7C26"/>
    <w:rsid w:val="009E7EDF"/>
    <w:rsid w:val="009F0CDA"/>
    <w:rsid w:val="009F37BE"/>
    <w:rsid w:val="009F3E1E"/>
    <w:rsid w:val="009F470A"/>
    <w:rsid w:val="009F5947"/>
    <w:rsid w:val="009F67AD"/>
    <w:rsid w:val="009F7799"/>
    <w:rsid w:val="009F7991"/>
    <w:rsid w:val="00A0241C"/>
    <w:rsid w:val="00A02E34"/>
    <w:rsid w:val="00A04383"/>
    <w:rsid w:val="00A06222"/>
    <w:rsid w:val="00A07AA4"/>
    <w:rsid w:val="00A132DB"/>
    <w:rsid w:val="00A13390"/>
    <w:rsid w:val="00A133D2"/>
    <w:rsid w:val="00A13E37"/>
    <w:rsid w:val="00A15AE7"/>
    <w:rsid w:val="00A22021"/>
    <w:rsid w:val="00A23729"/>
    <w:rsid w:val="00A26BFD"/>
    <w:rsid w:val="00A31418"/>
    <w:rsid w:val="00A31D8B"/>
    <w:rsid w:val="00A32C75"/>
    <w:rsid w:val="00A32CC1"/>
    <w:rsid w:val="00A344C8"/>
    <w:rsid w:val="00A349EC"/>
    <w:rsid w:val="00A35790"/>
    <w:rsid w:val="00A35FF6"/>
    <w:rsid w:val="00A3646D"/>
    <w:rsid w:val="00A367FF"/>
    <w:rsid w:val="00A37B24"/>
    <w:rsid w:val="00A42F22"/>
    <w:rsid w:val="00A437DD"/>
    <w:rsid w:val="00A43AFE"/>
    <w:rsid w:val="00A447C0"/>
    <w:rsid w:val="00A457CF"/>
    <w:rsid w:val="00A469AA"/>
    <w:rsid w:val="00A470F3"/>
    <w:rsid w:val="00A5055D"/>
    <w:rsid w:val="00A51816"/>
    <w:rsid w:val="00A52B6F"/>
    <w:rsid w:val="00A52FF1"/>
    <w:rsid w:val="00A553FC"/>
    <w:rsid w:val="00A568C1"/>
    <w:rsid w:val="00A56FE2"/>
    <w:rsid w:val="00A570B8"/>
    <w:rsid w:val="00A57922"/>
    <w:rsid w:val="00A61BB1"/>
    <w:rsid w:val="00A625E6"/>
    <w:rsid w:val="00A62CA3"/>
    <w:rsid w:val="00A62D6B"/>
    <w:rsid w:val="00A652B2"/>
    <w:rsid w:val="00A66D6B"/>
    <w:rsid w:val="00A67371"/>
    <w:rsid w:val="00A67AF4"/>
    <w:rsid w:val="00A70628"/>
    <w:rsid w:val="00A70EC2"/>
    <w:rsid w:val="00A7150B"/>
    <w:rsid w:val="00A719B3"/>
    <w:rsid w:val="00A720C3"/>
    <w:rsid w:val="00A728BA"/>
    <w:rsid w:val="00A74130"/>
    <w:rsid w:val="00A7432D"/>
    <w:rsid w:val="00A74755"/>
    <w:rsid w:val="00A75C95"/>
    <w:rsid w:val="00A769DB"/>
    <w:rsid w:val="00A7700D"/>
    <w:rsid w:val="00A77196"/>
    <w:rsid w:val="00A7773C"/>
    <w:rsid w:val="00A77975"/>
    <w:rsid w:val="00A77D9C"/>
    <w:rsid w:val="00A81108"/>
    <w:rsid w:val="00A825AB"/>
    <w:rsid w:val="00A82BED"/>
    <w:rsid w:val="00A83348"/>
    <w:rsid w:val="00A83AA8"/>
    <w:rsid w:val="00A84FE4"/>
    <w:rsid w:val="00A852E6"/>
    <w:rsid w:val="00A85750"/>
    <w:rsid w:val="00A86370"/>
    <w:rsid w:val="00A876AE"/>
    <w:rsid w:val="00A904D9"/>
    <w:rsid w:val="00A92A15"/>
    <w:rsid w:val="00A97884"/>
    <w:rsid w:val="00A9792E"/>
    <w:rsid w:val="00AA12BA"/>
    <w:rsid w:val="00AA14A9"/>
    <w:rsid w:val="00AA1666"/>
    <w:rsid w:val="00AA1D58"/>
    <w:rsid w:val="00AA250A"/>
    <w:rsid w:val="00AA2E7C"/>
    <w:rsid w:val="00AA2EFC"/>
    <w:rsid w:val="00AA46C5"/>
    <w:rsid w:val="00AA4B4D"/>
    <w:rsid w:val="00AA5274"/>
    <w:rsid w:val="00AA74DC"/>
    <w:rsid w:val="00AA7B6B"/>
    <w:rsid w:val="00AB0419"/>
    <w:rsid w:val="00AB2476"/>
    <w:rsid w:val="00AB3073"/>
    <w:rsid w:val="00AB31B7"/>
    <w:rsid w:val="00AB476E"/>
    <w:rsid w:val="00AB5F2C"/>
    <w:rsid w:val="00AB6BED"/>
    <w:rsid w:val="00AB75EE"/>
    <w:rsid w:val="00AB7C92"/>
    <w:rsid w:val="00AB7DAD"/>
    <w:rsid w:val="00AC054B"/>
    <w:rsid w:val="00AC09C1"/>
    <w:rsid w:val="00AC0AEE"/>
    <w:rsid w:val="00AC180B"/>
    <w:rsid w:val="00AC6523"/>
    <w:rsid w:val="00AC7203"/>
    <w:rsid w:val="00AC7A20"/>
    <w:rsid w:val="00AD03FA"/>
    <w:rsid w:val="00AD0689"/>
    <w:rsid w:val="00AD19C2"/>
    <w:rsid w:val="00AD1A4F"/>
    <w:rsid w:val="00AD1D73"/>
    <w:rsid w:val="00AD2486"/>
    <w:rsid w:val="00AD2A87"/>
    <w:rsid w:val="00AD3D2A"/>
    <w:rsid w:val="00AD4538"/>
    <w:rsid w:val="00AD4675"/>
    <w:rsid w:val="00AD56E3"/>
    <w:rsid w:val="00AD58A8"/>
    <w:rsid w:val="00AD602E"/>
    <w:rsid w:val="00AD7984"/>
    <w:rsid w:val="00AD7AB1"/>
    <w:rsid w:val="00AE1131"/>
    <w:rsid w:val="00AE1B90"/>
    <w:rsid w:val="00AE2029"/>
    <w:rsid w:val="00AE2F5E"/>
    <w:rsid w:val="00AE4AFF"/>
    <w:rsid w:val="00AE5EEF"/>
    <w:rsid w:val="00AE5F90"/>
    <w:rsid w:val="00AE6D71"/>
    <w:rsid w:val="00AF058F"/>
    <w:rsid w:val="00AF14C1"/>
    <w:rsid w:val="00AF17AF"/>
    <w:rsid w:val="00AF39F1"/>
    <w:rsid w:val="00AF46E8"/>
    <w:rsid w:val="00B02426"/>
    <w:rsid w:val="00B035B4"/>
    <w:rsid w:val="00B03C04"/>
    <w:rsid w:val="00B0464F"/>
    <w:rsid w:val="00B05C2F"/>
    <w:rsid w:val="00B05F4F"/>
    <w:rsid w:val="00B06636"/>
    <w:rsid w:val="00B07391"/>
    <w:rsid w:val="00B07C1F"/>
    <w:rsid w:val="00B10AE1"/>
    <w:rsid w:val="00B1257F"/>
    <w:rsid w:val="00B13A95"/>
    <w:rsid w:val="00B15941"/>
    <w:rsid w:val="00B15F26"/>
    <w:rsid w:val="00B15F2F"/>
    <w:rsid w:val="00B173FE"/>
    <w:rsid w:val="00B17D13"/>
    <w:rsid w:val="00B17DCA"/>
    <w:rsid w:val="00B20475"/>
    <w:rsid w:val="00B21A28"/>
    <w:rsid w:val="00B2295B"/>
    <w:rsid w:val="00B23A3B"/>
    <w:rsid w:val="00B26122"/>
    <w:rsid w:val="00B261EA"/>
    <w:rsid w:val="00B264C7"/>
    <w:rsid w:val="00B27441"/>
    <w:rsid w:val="00B277EB"/>
    <w:rsid w:val="00B30FD8"/>
    <w:rsid w:val="00B321D5"/>
    <w:rsid w:val="00B32C8A"/>
    <w:rsid w:val="00B32D40"/>
    <w:rsid w:val="00B33DA7"/>
    <w:rsid w:val="00B34795"/>
    <w:rsid w:val="00B362F3"/>
    <w:rsid w:val="00B3667A"/>
    <w:rsid w:val="00B37E9D"/>
    <w:rsid w:val="00B41C3A"/>
    <w:rsid w:val="00B42089"/>
    <w:rsid w:val="00B42A22"/>
    <w:rsid w:val="00B42C08"/>
    <w:rsid w:val="00B42F4F"/>
    <w:rsid w:val="00B43280"/>
    <w:rsid w:val="00B43A7B"/>
    <w:rsid w:val="00B45E57"/>
    <w:rsid w:val="00B462E2"/>
    <w:rsid w:val="00B468B1"/>
    <w:rsid w:val="00B46E2D"/>
    <w:rsid w:val="00B47005"/>
    <w:rsid w:val="00B47BCC"/>
    <w:rsid w:val="00B47F9B"/>
    <w:rsid w:val="00B503D8"/>
    <w:rsid w:val="00B505AD"/>
    <w:rsid w:val="00B522BF"/>
    <w:rsid w:val="00B52854"/>
    <w:rsid w:val="00B52C5B"/>
    <w:rsid w:val="00B53904"/>
    <w:rsid w:val="00B544BD"/>
    <w:rsid w:val="00B544FE"/>
    <w:rsid w:val="00B54ECA"/>
    <w:rsid w:val="00B56432"/>
    <w:rsid w:val="00B6517A"/>
    <w:rsid w:val="00B65A31"/>
    <w:rsid w:val="00B66E0B"/>
    <w:rsid w:val="00B70B9F"/>
    <w:rsid w:val="00B71E28"/>
    <w:rsid w:val="00B72294"/>
    <w:rsid w:val="00B74507"/>
    <w:rsid w:val="00B76E9D"/>
    <w:rsid w:val="00B77D76"/>
    <w:rsid w:val="00B80FD4"/>
    <w:rsid w:val="00B810A5"/>
    <w:rsid w:val="00B81678"/>
    <w:rsid w:val="00B823AB"/>
    <w:rsid w:val="00B83ED0"/>
    <w:rsid w:val="00B8422F"/>
    <w:rsid w:val="00B85A86"/>
    <w:rsid w:val="00B87413"/>
    <w:rsid w:val="00B87F15"/>
    <w:rsid w:val="00B92D82"/>
    <w:rsid w:val="00B93198"/>
    <w:rsid w:val="00B943CF"/>
    <w:rsid w:val="00B9512B"/>
    <w:rsid w:val="00B964C5"/>
    <w:rsid w:val="00B96987"/>
    <w:rsid w:val="00B96D0B"/>
    <w:rsid w:val="00B96F3A"/>
    <w:rsid w:val="00B971CE"/>
    <w:rsid w:val="00B97EFE"/>
    <w:rsid w:val="00BA010F"/>
    <w:rsid w:val="00BA0810"/>
    <w:rsid w:val="00BA1650"/>
    <w:rsid w:val="00BA3CFF"/>
    <w:rsid w:val="00BA3F85"/>
    <w:rsid w:val="00BA4D4D"/>
    <w:rsid w:val="00BA506C"/>
    <w:rsid w:val="00BB098F"/>
    <w:rsid w:val="00BB1371"/>
    <w:rsid w:val="00BB15C2"/>
    <w:rsid w:val="00BB1612"/>
    <w:rsid w:val="00BB2F26"/>
    <w:rsid w:val="00BB2F4E"/>
    <w:rsid w:val="00BB4D8A"/>
    <w:rsid w:val="00BB6B15"/>
    <w:rsid w:val="00BB712E"/>
    <w:rsid w:val="00BB73CF"/>
    <w:rsid w:val="00BB785B"/>
    <w:rsid w:val="00BC0283"/>
    <w:rsid w:val="00BC0868"/>
    <w:rsid w:val="00BC1115"/>
    <w:rsid w:val="00BC1243"/>
    <w:rsid w:val="00BC1831"/>
    <w:rsid w:val="00BC1B90"/>
    <w:rsid w:val="00BC284B"/>
    <w:rsid w:val="00BC3F3A"/>
    <w:rsid w:val="00BC3FFA"/>
    <w:rsid w:val="00BC40A6"/>
    <w:rsid w:val="00BC53FC"/>
    <w:rsid w:val="00BC5D51"/>
    <w:rsid w:val="00BC5F8D"/>
    <w:rsid w:val="00BC6189"/>
    <w:rsid w:val="00BC76FB"/>
    <w:rsid w:val="00BC792B"/>
    <w:rsid w:val="00BD070C"/>
    <w:rsid w:val="00BD0EBC"/>
    <w:rsid w:val="00BD111E"/>
    <w:rsid w:val="00BD1692"/>
    <w:rsid w:val="00BD17D0"/>
    <w:rsid w:val="00BD1995"/>
    <w:rsid w:val="00BD1E0A"/>
    <w:rsid w:val="00BD3AD1"/>
    <w:rsid w:val="00BD5307"/>
    <w:rsid w:val="00BD715F"/>
    <w:rsid w:val="00BE06DD"/>
    <w:rsid w:val="00BE13FA"/>
    <w:rsid w:val="00BE2039"/>
    <w:rsid w:val="00BE2B51"/>
    <w:rsid w:val="00BE3F97"/>
    <w:rsid w:val="00BE5F4C"/>
    <w:rsid w:val="00BE65A3"/>
    <w:rsid w:val="00BE6C8A"/>
    <w:rsid w:val="00BE77FB"/>
    <w:rsid w:val="00BE7F09"/>
    <w:rsid w:val="00BF10AA"/>
    <w:rsid w:val="00BF12F2"/>
    <w:rsid w:val="00BF237C"/>
    <w:rsid w:val="00BF2821"/>
    <w:rsid w:val="00BF391C"/>
    <w:rsid w:val="00BF3BE6"/>
    <w:rsid w:val="00BF509A"/>
    <w:rsid w:val="00BF5274"/>
    <w:rsid w:val="00BF74E1"/>
    <w:rsid w:val="00BF77FC"/>
    <w:rsid w:val="00C0023E"/>
    <w:rsid w:val="00C00968"/>
    <w:rsid w:val="00C013AF"/>
    <w:rsid w:val="00C0246B"/>
    <w:rsid w:val="00C05362"/>
    <w:rsid w:val="00C06017"/>
    <w:rsid w:val="00C103EB"/>
    <w:rsid w:val="00C10505"/>
    <w:rsid w:val="00C1126F"/>
    <w:rsid w:val="00C116C0"/>
    <w:rsid w:val="00C12AAD"/>
    <w:rsid w:val="00C138B0"/>
    <w:rsid w:val="00C14519"/>
    <w:rsid w:val="00C14781"/>
    <w:rsid w:val="00C159A6"/>
    <w:rsid w:val="00C15E76"/>
    <w:rsid w:val="00C164AB"/>
    <w:rsid w:val="00C16CDB"/>
    <w:rsid w:val="00C219C9"/>
    <w:rsid w:val="00C21A22"/>
    <w:rsid w:val="00C24AEC"/>
    <w:rsid w:val="00C25196"/>
    <w:rsid w:val="00C25695"/>
    <w:rsid w:val="00C26B0D"/>
    <w:rsid w:val="00C26DDF"/>
    <w:rsid w:val="00C303CA"/>
    <w:rsid w:val="00C305D0"/>
    <w:rsid w:val="00C3112E"/>
    <w:rsid w:val="00C3291A"/>
    <w:rsid w:val="00C33190"/>
    <w:rsid w:val="00C33931"/>
    <w:rsid w:val="00C340E2"/>
    <w:rsid w:val="00C34769"/>
    <w:rsid w:val="00C34A57"/>
    <w:rsid w:val="00C360E1"/>
    <w:rsid w:val="00C36834"/>
    <w:rsid w:val="00C413DA"/>
    <w:rsid w:val="00C42C6A"/>
    <w:rsid w:val="00C43617"/>
    <w:rsid w:val="00C4387E"/>
    <w:rsid w:val="00C43A34"/>
    <w:rsid w:val="00C43A88"/>
    <w:rsid w:val="00C43E9B"/>
    <w:rsid w:val="00C447BE"/>
    <w:rsid w:val="00C45686"/>
    <w:rsid w:val="00C45E43"/>
    <w:rsid w:val="00C50DEB"/>
    <w:rsid w:val="00C50E48"/>
    <w:rsid w:val="00C51373"/>
    <w:rsid w:val="00C53F49"/>
    <w:rsid w:val="00C54571"/>
    <w:rsid w:val="00C56322"/>
    <w:rsid w:val="00C5787D"/>
    <w:rsid w:val="00C57B8B"/>
    <w:rsid w:val="00C61D20"/>
    <w:rsid w:val="00C63322"/>
    <w:rsid w:val="00C64037"/>
    <w:rsid w:val="00C64545"/>
    <w:rsid w:val="00C66769"/>
    <w:rsid w:val="00C67562"/>
    <w:rsid w:val="00C71CB9"/>
    <w:rsid w:val="00C71F9E"/>
    <w:rsid w:val="00C726E5"/>
    <w:rsid w:val="00C7282C"/>
    <w:rsid w:val="00C733D4"/>
    <w:rsid w:val="00C73BE0"/>
    <w:rsid w:val="00C74D2A"/>
    <w:rsid w:val="00C750E1"/>
    <w:rsid w:val="00C755B2"/>
    <w:rsid w:val="00C75F9A"/>
    <w:rsid w:val="00C76D92"/>
    <w:rsid w:val="00C77877"/>
    <w:rsid w:val="00C80F50"/>
    <w:rsid w:val="00C8117E"/>
    <w:rsid w:val="00C832C8"/>
    <w:rsid w:val="00C85CE3"/>
    <w:rsid w:val="00C8613E"/>
    <w:rsid w:val="00C86E74"/>
    <w:rsid w:val="00C87422"/>
    <w:rsid w:val="00C90863"/>
    <w:rsid w:val="00C90A07"/>
    <w:rsid w:val="00C91F0C"/>
    <w:rsid w:val="00C9586A"/>
    <w:rsid w:val="00C978DA"/>
    <w:rsid w:val="00CA10CB"/>
    <w:rsid w:val="00CA1409"/>
    <w:rsid w:val="00CA299C"/>
    <w:rsid w:val="00CA3959"/>
    <w:rsid w:val="00CA3CB9"/>
    <w:rsid w:val="00CA3EBE"/>
    <w:rsid w:val="00CA51F0"/>
    <w:rsid w:val="00CA5886"/>
    <w:rsid w:val="00CA59E6"/>
    <w:rsid w:val="00CA6B40"/>
    <w:rsid w:val="00CA722B"/>
    <w:rsid w:val="00CA752F"/>
    <w:rsid w:val="00CA7BC7"/>
    <w:rsid w:val="00CA7BD5"/>
    <w:rsid w:val="00CB062D"/>
    <w:rsid w:val="00CB1089"/>
    <w:rsid w:val="00CB1E21"/>
    <w:rsid w:val="00CB3166"/>
    <w:rsid w:val="00CB4F03"/>
    <w:rsid w:val="00CB52FE"/>
    <w:rsid w:val="00CB5586"/>
    <w:rsid w:val="00CB719F"/>
    <w:rsid w:val="00CC0478"/>
    <w:rsid w:val="00CC04D4"/>
    <w:rsid w:val="00CC22D8"/>
    <w:rsid w:val="00CC3969"/>
    <w:rsid w:val="00CC46A1"/>
    <w:rsid w:val="00CC49C8"/>
    <w:rsid w:val="00CC6290"/>
    <w:rsid w:val="00CC6793"/>
    <w:rsid w:val="00CD2BA5"/>
    <w:rsid w:val="00CD2E12"/>
    <w:rsid w:val="00CD3103"/>
    <w:rsid w:val="00CD3550"/>
    <w:rsid w:val="00CD5844"/>
    <w:rsid w:val="00CD633F"/>
    <w:rsid w:val="00CD6DE2"/>
    <w:rsid w:val="00CD72DB"/>
    <w:rsid w:val="00CE085D"/>
    <w:rsid w:val="00CE20BA"/>
    <w:rsid w:val="00CE2C30"/>
    <w:rsid w:val="00CE3654"/>
    <w:rsid w:val="00CE5360"/>
    <w:rsid w:val="00CE64A1"/>
    <w:rsid w:val="00CE7075"/>
    <w:rsid w:val="00CE7F56"/>
    <w:rsid w:val="00CF06B2"/>
    <w:rsid w:val="00CF0DA7"/>
    <w:rsid w:val="00CF155B"/>
    <w:rsid w:val="00CF2857"/>
    <w:rsid w:val="00CF311A"/>
    <w:rsid w:val="00CF376E"/>
    <w:rsid w:val="00CF50FB"/>
    <w:rsid w:val="00CF5DE5"/>
    <w:rsid w:val="00D01D19"/>
    <w:rsid w:val="00D02B1F"/>
    <w:rsid w:val="00D03D5C"/>
    <w:rsid w:val="00D05339"/>
    <w:rsid w:val="00D05353"/>
    <w:rsid w:val="00D06D89"/>
    <w:rsid w:val="00D07F8F"/>
    <w:rsid w:val="00D10479"/>
    <w:rsid w:val="00D12457"/>
    <w:rsid w:val="00D12B1E"/>
    <w:rsid w:val="00D135B5"/>
    <w:rsid w:val="00D13ADB"/>
    <w:rsid w:val="00D145BD"/>
    <w:rsid w:val="00D158A8"/>
    <w:rsid w:val="00D1686E"/>
    <w:rsid w:val="00D200CE"/>
    <w:rsid w:val="00D20FD1"/>
    <w:rsid w:val="00D21827"/>
    <w:rsid w:val="00D21D5A"/>
    <w:rsid w:val="00D23DB1"/>
    <w:rsid w:val="00D261A9"/>
    <w:rsid w:val="00D26692"/>
    <w:rsid w:val="00D277C3"/>
    <w:rsid w:val="00D31347"/>
    <w:rsid w:val="00D31398"/>
    <w:rsid w:val="00D315AB"/>
    <w:rsid w:val="00D3178A"/>
    <w:rsid w:val="00D32080"/>
    <w:rsid w:val="00D326C7"/>
    <w:rsid w:val="00D329E7"/>
    <w:rsid w:val="00D344BF"/>
    <w:rsid w:val="00D35240"/>
    <w:rsid w:val="00D3531D"/>
    <w:rsid w:val="00D3650F"/>
    <w:rsid w:val="00D40650"/>
    <w:rsid w:val="00D40B83"/>
    <w:rsid w:val="00D439AD"/>
    <w:rsid w:val="00D43EB8"/>
    <w:rsid w:val="00D449BD"/>
    <w:rsid w:val="00D449C2"/>
    <w:rsid w:val="00D44ABC"/>
    <w:rsid w:val="00D44B25"/>
    <w:rsid w:val="00D47E55"/>
    <w:rsid w:val="00D51B96"/>
    <w:rsid w:val="00D520BC"/>
    <w:rsid w:val="00D52E90"/>
    <w:rsid w:val="00D54521"/>
    <w:rsid w:val="00D54F96"/>
    <w:rsid w:val="00D5565E"/>
    <w:rsid w:val="00D561FA"/>
    <w:rsid w:val="00D56D15"/>
    <w:rsid w:val="00D5779C"/>
    <w:rsid w:val="00D602BC"/>
    <w:rsid w:val="00D60531"/>
    <w:rsid w:val="00D60AAF"/>
    <w:rsid w:val="00D63A17"/>
    <w:rsid w:val="00D64968"/>
    <w:rsid w:val="00D655C9"/>
    <w:rsid w:val="00D66324"/>
    <w:rsid w:val="00D67A1F"/>
    <w:rsid w:val="00D701DD"/>
    <w:rsid w:val="00D703CF"/>
    <w:rsid w:val="00D71667"/>
    <w:rsid w:val="00D74E4F"/>
    <w:rsid w:val="00D75405"/>
    <w:rsid w:val="00D75D0C"/>
    <w:rsid w:val="00D766C6"/>
    <w:rsid w:val="00D77DC7"/>
    <w:rsid w:val="00D77E7D"/>
    <w:rsid w:val="00D80073"/>
    <w:rsid w:val="00D80270"/>
    <w:rsid w:val="00D817B4"/>
    <w:rsid w:val="00D81D2A"/>
    <w:rsid w:val="00D83DDC"/>
    <w:rsid w:val="00D84C10"/>
    <w:rsid w:val="00D85287"/>
    <w:rsid w:val="00D870CF"/>
    <w:rsid w:val="00D912D8"/>
    <w:rsid w:val="00D91A12"/>
    <w:rsid w:val="00D93889"/>
    <w:rsid w:val="00D93D4A"/>
    <w:rsid w:val="00D94ADB"/>
    <w:rsid w:val="00D95E9E"/>
    <w:rsid w:val="00D95F3D"/>
    <w:rsid w:val="00D96422"/>
    <w:rsid w:val="00D964DE"/>
    <w:rsid w:val="00D97104"/>
    <w:rsid w:val="00D97B68"/>
    <w:rsid w:val="00D97C8B"/>
    <w:rsid w:val="00DA0C01"/>
    <w:rsid w:val="00DA143E"/>
    <w:rsid w:val="00DA3B54"/>
    <w:rsid w:val="00DA3E6A"/>
    <w:rsid w:val="00DA41AA"/>
    <w:rsid w:val="00DA46F2"/>
    <w:rsid w:val="00DA5930"/>
    <w:rsid w:val="00DA5F29"/>
    <w:rsid w:val="00DA65C1"/>
    <w:rsid w:val="00DA6FDF"/>
    <w:rsid w:val="00DA7326"/>
    <w:rsid w:val="00DA74E1"/>
    <w:rsid w:val="00DB007F"/>
    <w:rsid w:val="00DB0850"/>
    <w:rsid w:val="00DB0A47"/>
    <w:rsid w:val="00DB4DB8"/>
    <w:rsid w:val="00DB6379"/>
    <w:rsid w:val="00DB63C4"/>
    <w:rsid w:val="00DC0F1E"/>
    <w:rsid w:val="00DC11D6"/>
    <w:rsid w:val="00DC3186"/>
    <w:rsid w:val="00DC6569"/>
    <w:rsid w:val="00DC74F0"/>
    <w:rsid w:val="00DC7A32"/>
    <w:rsid w:val="00DC7FCC"/>
    <w:rsid w:val="00DD033A"/>
    <w:rsid w:val="00DD0A48"/>
    <w:rsid w:val="00DD0D4A"/>
    <w:rsid w:val="00DD1E33"/>
    <w:rsid w:val="00DD223B"/>
    <w:rsid w:val="00DD25DB"/>
    <w:rsid w:val="00DD2B56"/>
    <w:rsid w:val="00DD37C6"/>
    <w:rsid w:val="00DD5308"/>
    <w:rsid w:val="00DD56B9"/>
    <w:rsid w:val="00DD6500"/>
    <w:rsid w:val="00DD6AD2"/>
    <w:rsid w:val="00DE0BDD"/>
    <w:rsid w:val="00DE2535"/>
    <w:rsid w:val="00DE317A"/>
    <w:rsid w:val="00DE3B1B"/>
    <w:rsid w:val="00DE62F2"/>
    <w:rsid w:val="00DE64AE"/>
    <w:rsid w:val="00DE6A91"/>
    <w:rsid w:val="00DE7484"/>
    <w:rsid w:val="00DF0AA2"/>
    <w:rsid w:val="00DF2BED"/>
    <w:rsid w:val="00DF56C2"/>
    <w:rsid w:val="00DF5AA0"/>
    <w:rsid w:val="00DF63E0"/>
    <w:rsid w:val="00DF71FB"/>
    <w:rsid w:val="00E000D6"/>
    <w:rsid w:val="00E001D1"/>
    <w:rsid w:val="00E020F8"/>
    <w:rsid w:val="00E02A30"/>
    <w:rsid w:val="00E03CBE"/>
    <w:rsid w:val="00E04DD3"/>
    <w:rsid w:val="00E0671B"/>
    <w:rsid w:val="00E0712A"/>
    <w:rsid w:val="00E07BF3"/>
    <w:rsid w:val="00E07FF7"/>
    <w:rsid w:val="00E11BDA"/>
    <w:rsid w:val="00E12194"/>
    <w:rsid w:val="00E128B8"/>
    <w:rsid w:val="00E12AA1"/>
    <w:rsid w:val="00E12D24"/>
    <w:rsid w:val="00E12EC4"/>
    <w:rsid w:val="00E13039"/>
    <w:rsid w:val="00E14772"/>
    <w:rsid w:val="00E14DB8"/>
    <w:rsid w:val="00E16750"/>
    <w:rsid w:val="00E16BE3"/>
    <w:rsid w:val="00E174FA"/>
    <w:rsid w:val="00E175D7"/>
    <w:rsid w:val="00E2183C"/>
    <w:rsid w:val="00E22C16"/>
    <w:rsid w:val="00E23CA9"/>
    <w:rsid w:val="00E247A1"/>
    <w:rsid w:val="00E24CF7"/>
    <w:rsid w:val="00E24ED0"/>
    <w:rsid w:val="00E2578C"/>
    <w:rsid w:val="00E25910"/>
    <w:rsid w:val="00E26434"/>
    <w:rsid w:val="00E26FE2"/>
    <w:rsid w:val="00E26FF1"/>
    <w:rsid w:val="00E30500"/>
    <w:rsid w:val="00E31431"/>
    <w:rsid w:val="00E322A2"/>
    <w:rsid w:val="00E32B5B"/>
    <w:rsid w:val="00E33395"/>
    <w:rsid w:val="00E33735"/>
    <w:rsid w:val="00E33DC7"/>
    <w:rsid w:val="00E34055"/>
    <w:rsid w:val="00E34C09"/>
    <w:rsid w:val="00E35C22"/>
    <w:rsid w:val="00E35EA9"/>
    <w:rsid w:val="00E3689C"/>
    <w:rsid w:val="00E36F06"/>
    <w:rsid w:val="00E37CCF"/>
    <w:rsid w:val="00E42157"/>
    <w:rsid w:val="00E42658"/>
    <w:rsid w:val="00E44752"/>
    <w:rsid w:val="00E45477"/>
    <w:rsid w:val="00E45894"/>
    <w:rsid w:val="00E4594F"/>
    <w:rsid w:val="00E50C3F"/>
    <w:rsid w:val="00E515E1"/>
    <w:rsid w:val="00E526E5"/>
    <w:rsid w:val="00E535C2"/>
    <w:rsid w:val="00E54E60"/>
    <w:rsid w:val="00E5554B"/>
    <w:rsid w:val="00E563BC"/>
    <w:rsid w:val="00E56BAA"/>
    <w:rsid w:val="00E57767"/>
    <w:rsid w:val="00E609C0"/>
    <w:rsid w:val="00E622F4"/>
    <w:rsid w:val="00E64F5C"/>
    <w:rsid w:val="00E65BE8"/>
    <w:rsid w:val="00E665A4"/>
    <w:rsid w:val="00E66CC7"/>
    <w:rsid w:val="00E6747E"/>
    <w:rsid w:val="00E67C16"/>
    <w:rsid w:val="00E700B2"/>
    <w:rsid w:val="00E70C87"/>
    <w:rsid w:val="00E71234"/>
    <w:rsid w:val="00E71267"/>
    <w:rsid w:val="00E71CE7"/>
    <w:rsid w:val="00E723A5"/>
    <w:rsid w:val="00E7678C"/>
    <w:rsid w:val="00E77841"/>
    <w:rsid w:val="00E77F17"/>
    <w:rsid w:val="00E80181"/>
    <w:rsid w:val="00E8305A"/>
    <w:rsid w:val="00E830A1"/>
    <w:rsid w:val="00E84089"/>
    <w:rsid w:val="00E841C9"/>
    <w:rsid w:val="00E85159"/>
    <w:rsid w:val="00E866A8"/>
    <w:rsid w:val="00E86948"/>
    <w:rsid w:val="00E86A5E"/>
    <w:rsid w:val="00E8711F"/>
    <w:rsid w:val="00E90554"/>
    <w:rsid w:val="00E949B1"/>
    <w:rsid w:val="00E94A39"/>
    <w:rsid w:val="00E96B56"/>
    <w:rsid w:val="00E97E9E"/>
    <w:rsid w:val="00EA2667"/>
    <w:rsid w:val="00EA26D3"/>
    <w:rsid w:val="00EA335A"/>
    <w:rsid w:val="00EA413B"/>
    <w:rsid w:val="00EA4424"/>
    <w:rsid w:val="00EA4BFB"/>
    <w:rsid w:val="00EA4FA6"/>
    <w:rsid w:val="00EA54B1"/>
    <w:rsid w:val="00EA6D00"/>
    <w:rsid w:val="00EA7C59"/>
    <w:rsid w:val="00EB0EF2"/>
    <w:rsid w:val="00EB27AD"/>
    <w:rsid w:val="00EB2B82"/>
    <w:rsid w:val="00EB4450"/>
    <w:rsid w:val="00EB4760"/>
    <w:rsid w:val="00EB4AD0"/>
    <w:rsid w:val="00EB4FC4"/>
    <w:rsid w:val="00EB5042"/>
    <w:rsid w:val="00EB50C4"/>
    <w:rsid w:val="00EB5375"/>
    <w:rsid w:val="00EB54C7"/>
    <w:rsid w:val="00EB6E6C"/>
    <w:rsid w:val="00EC09CE"/>
    <w:rsid w:val="00EC0A1D"/>
    <w:rsid w:val="00EC226C"/>
    <w:rsid w:val="00EC2A77"/>
    <w:rsid w:val="00EC42FB"/>
    <w:rsid w:val="00EC4BC7"/>
    <w:rsid w:val="00EC64B3"/>
    <w:rsid w:val="00ED097F"/>
    <w:rsid w:val="00ED190B"/>
    <w:rsid w:val="00ED1C10"/>
    <w:rsid w:val="00ED36FA"/>
    <w:rsid w:val="00ED3A0B"/>
    <w:rsid w:val="00ED3E69"/>
    <w:rsid w:val="00ED4CFB"/>
    <w:rsid w:val="00ED649A"/>
    <w:rsid w:val="00ED663A"/>
    <w:rsid w:val="00ED690C"/>
    <w:rsid w:val="00ED69E3"/>
    <w:rsid w:val="00ED6C43"/>
    <w:rsid w:val="00ED6C71"/>
    <w:rsid w:val="00ED6E60"/>
    <w:rsid w:val="00ED7591"/>
    <w:rsid w:val="00EE027B"/>
    <w:rsid w:val="00EE1C01"/>
    <w:rsid w:val="00EE2C03"/>
    <w:rsid w:val="00EE3522"/>
    <w:rsid w:val="00EE37F3"/>
    <w:rsid w:val="00EE502E"/>
    <w:rsid w:val="00EE54B3"/>
    <w:rsid w:val="00EE5A37"/>
    <w:rsid w:val="00EE5EAE"/>
    <w:rsid w:val="00EE6924"/>
    <w:rsid w:val="00EF16D1"/>
    <w:rsid w:val="00EF1907"/>
    <w:rsid w:val="00EF2180"/>
    <w:rsid w:val="00EF401D"/>
    <w:rsid w:val="00EF4F96"/>
    <w:rsid w:val="00EF5354"/>
    <w:rsid w:val="00EF6853"/>
    <w:rsid w:val="00EF7AEA"/>
    <w:rsid w:val="00EF7CC7"/>
    <w:rsid w:val="00F00A05"/>
    <w:rsid w:val="00F017E4"/>
    <w:rsid w:val="00F01E37"/>
    <w:rsid w:val="00F01F43"/>
    <w:rsid w:val="00F038BD"/>
    <w:rsid w:val="00F03E08"/>
    <w:rsid w:val="00F03F01"/>
    <w:rsid w:val="00F05989"/>
    <w:rsid w:val="00F059DD"/>
    <w:rsid w:val="00F05D3C"/>
    <w:rsid w:val="00F064EC"/>
    <w:rsid w:val="00F07340"/>
    <w:rsid w:val="00F07BE3"/>
    <w:rsid w:val="00F11E74"/>
    <w:rsid w:val="00F1307E"/>
    <w:rsid w:val="00F13763"/>
    <w:rsid w:val="00F160C3"/>
    <w:rsid w:val="00F16ACB"/>
    <w:rsid w:val="00F16B4F"/>
    <w:rsid w:val="00F172B4"/>
    <w:rsid w:val="00F21897"/>
    <w:rsid w:val="00F22244"/>
    <w:rsid w:val="00F2263E"/>
    <w:rsid w:val="00F22CAB"/>
    <w:rsid w:val="00F22E10"/>
    <w:rsid w:val="00F22EEC"/>
    <w:rsid w:val="00F246ED"/>
    <w:rsid w:val="00F24921"/>
    <w:rsid w:val="00F257D8"/>
    <w:rsid w:val="00F25B8E"/>
    <w:rsid w:val="00F26542"/>
    <w:rsid w:val="00F27648"/>
    <w:rsid w:val="00F3013E"/>
    <w:rsid w:val="00F304D2"/>
    <w:rsid w:val="00F30568"/>
    <w:rsid w:val="00F3098D"/>
    <w:rsid w:val="00F318B0"/>
    <w:rsid w:val="00F322C2"/>
    <w:rsid w:val="00F32D8B"/>
    <w:rsid w:val="00F356B1"/>
    <w:rsid w:val="00F3651E"/>
    <w:rsid w:val="00F36EC4"/>
    <w:rsid w:val="00F372E3"/>
    <w:rsid w:val="00F3736A"/>
    <w:rsid w:val="00F37E4C"/>
    <w:rsid w:val="00F408D2"/>
    <w:rsid w:val="00F4277E"/>
    <w:rsid w:val="00F44BCB"/>
    <w:rsid w:val="00F504C3"/>
    <w:rsid w:val="00F50C89"/>
    <w:rsid w:val="00F51B3B"/>
    <w:rsid w:val="00F52C09"/>
    <w:rsid w:val="00F55A22"/>
    <w:rsid w:val="00F55E8E"/>
    <w:rsid w:val="00F55EEE"/>
    <w:rsid w:val="00F567C0"/>
    <w:rsid w:val="00F57802"/>
    <w:rsid w:val="00F610CE"/>
    <w:rsid w:val="00F613F7"/>
    <w:rsid w:val="00F6303E"/>
    <w:rsid w:val="00F63DEC"/>
    <w:rsid w:val="00F64463"/>
    <w:rsid w:val="00F660A1"/>
    <w:rsid w:val="00F6721D"/>
    <w:rsid w:val="00F672C4"/>
    <w:rsid w:val="00F706B9"/>
    <w:rsid w:val="00F73869"/>
    <w:rsid w:val="00F76A3D"/>
    <w:rsid w:val="00F77749"/>
    <w:rsid w:val="00F805AE"/>
    <w:rsid w:val="00F81BD4"/>
    <w:rsid w:val="00F844CF"/>
    <w:rsid w:val="00F850B1"/>
    <w:rsid w:val="00F85ABF"/>
    <w:rsid w:val="00F87208"/>
    <w:rsid w:val="00F90BBD"/>
    <w:rsid w:val="00F92EDD"/>
    <w:rsid w:val="00F9375A"/>
    <w:rsid w:val="00F93B0A"/>
    <w:rsid w:val="00F94895"/>
    <w:rsid w:val="00F948BF"/>
    <w:rsid w:val="00F94A99"/>
    <w:rsid w:val="00F95AAE"/>
    <w:rsid w:val="00F96285"/>
    <w:rsid w:val="00FA0CD5"/>
    <w:rsid w:val="00FA146D"/>
    <w:rsid w:val="00FA204F"/>
    <w:rsid w:val="00FA47AA"/>
    <w:rsid w:val="00FA6BE0"/>
    <w:rsid w:val="00FA7706"/>
    <w:rsid w:val="00FB03D3"/>
    <w:rsid w:val="00FB2AB7"/>
    <w:rsid w:val="00FB3D24"/>
    <w:rsid w:val="00FB6DF9"/>
    <w:rsid w:val="00FB7841"/>
    <w:rsid w:val="00FC118D"/>
    <w:rsid w:val="00FC196B"/>
    <w:rsid w:val="00FC1C89"/>
    <w:rsid w:val="00FC3621"/>
    <w:rsid w:val="00FC5394"/>
    <w:rsid w:val="00FC6060"/>
    <w:rsid w:val="00FC6F81"/>
    <w:rsid w:val="00FD000C"/>
    <w:rsid w:val="00FD0367"/>
    <w:rsid w:val="00FD5037"/>
    <w:rsid w:val="00FD5123"/>
    <w:rsid w:val="00FD64BB"/>
    <w:rsid w:val="00FD6C68"/>
    <w:rsid w:val="00FD6F11"/>
    <w:rsid w:val="00FE1190"/>
    <w:rsid w:val="00FE11EA"/>
    <w:rsid w:val="00FE132C"/>
    <w:rsid w:val="00FE3AA5"/>
    <w:rsid w:val="00FE40CA"/>
    <w:rsid w:val="00FE4ADA"/>
    <w:rsid w:val="00FE4EBF"/>
    <w:rsid w:val="00FE56EB"/>
    <w:rsid w:val="00FE5F66"/>
    <w:rsid w:val="00FE601F"/>
    <w:rsid w:val="00FE62D6"/>
    <w:rsid w:val="00FE78A2"/>
    <w:rsid w:val="00FF0258"/>
    <w:rsid w:val="00FF0DBB"/>
    <w:rsid w:val="00FF1061"/>
    <w:rsid w:val="00FF11E4"/>
    <w:rsid w:val="00FF1EF3"/>
    <w:rsid w:val="00FF4BD3"/>
    <w:rsid w:val="00FF6E9E"/>
    <w:rsid w:val="00FF7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EE01953"/>
  <w15:docId w15:val="{F517B83B-7E07-432F-9FAB-C21D284D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BE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E42658"/>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E42658"/>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E42658"/>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E42658"/>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E42658"/>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E42658"/>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E42658"/>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E42658"/>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E42658"/>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658"/>
    <w:rPr>
      <w:rFonts w:ascii="Tahoma" w:hAnsi="Tahoma" w:cs="Tahoma"/>
      <w:sz w:val="16"/>
      <w:szCs w:val="16"/>
    </w:rPr>
  </w:style>
  <w:style w:type="character" w:customStyle="1" w:styleId="BalloonTextChar">
    <w:name w:val="Balloon Text Char"/>
    <w:basedOn w:val="DefaultParagraphFont"/>
    <w:link w:val="BalloonText"/>
    <w:uiPriority w:val="99"/>
    <w:semiHidden/>
    <w:rsid w:val="00E42658"/>
    <w:rPr>
      <w:rFonts w:ascii="Tahoma" w:hAnsi="Tahoma" w:cs="Tahoma"/>
      <w:sz w:val="16"/>
      <w:szCs w:val="16"/>
    </w:rPr>
  </w:style>
  <w:style w:type="character" w:customStyle="1" w:styleId="BalloonTextChar1">
    <w:name w:val="Balloon Text Char1"/>
    <w:basedOn w:val="DefaultParagraphFont"/>
    <w:uiPriority w:val="99"/>
    <w:semiHidden/>
    <w:rsid w:val="00F844CF"/>
    <w:rPr>
      <w:rFonts w:ascii="Tahoma" w:hAnsi="Tahoma" w:cs="Tahoma"/>
      <w:sz w:val="16"/>
      <w:szCs w:val="16"/>
    </w:rPr>
  </w:style>
  <w:style w:type="paragraph" w:styleId="BodyText">
    <w:name w:val="Body Text"/>
    <w:aliases w:val="Char Char Char Char Char Char Char Char Char Char Char Char Char Char Char,Char Char Char Char Char,Body Text Char1,Body Text Char Char Char,Body Text Char Char1 Char,(ALT+B),Body Text1,(ALT+B) Char Char1,(ALT+B) Cha1 Char Char,Char Char,(ALT+"/>
    <w:basedOn w:val="Normal"/>
    <w:link w:val="BodyTextChar"/>
    <w:rsid w:val="00E42658"/>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 Char,Body Text Char Char1 Char Char,(ALT+B) Char,Body Text1 Char,Char Char Char"/>
    <w:basedOn w:val="DefaultParagraphFont"/>
    <w:link w:val="BodyText"/>
    <w:rsid w:val="00E42658"/>
    <w:rPr>
      <w:rFonts w:ascii="Segoe UI Semilight" w:hAnsi="Segoe UI Semilight"/>
      <w:sz w:val="20"/>
    </w:rPr>
  </w:style>
  <w:style w:type="paragraph" w:customStyle="1" w:styleId="Bullet1">
    <w:name w:val="Bullet 1"/>
    <w:basedOn w:val="Normal"/>
    <w:link w:val="Bullet1Char"/>
    <w:qFormat/>
    <w:rsid w:val="00E42658"/>
    <w:pPr>
      <w:numPr>
        <w:numId w:val="1"/>
      </w:numPr>
      <w:spacing w:after="120"/>
    </w:pPr>
    <w:rPr>
      <w:bCs/>
    </w:rPr>
  </w:style>
  <w:style w:type="paragraph" w:customStyle="1" w:styleId="Bullet2">
    <w:name w:val="Bullet 2"/>
    <w:basedOn w:val="Normal"/>
    <w:qFormat/>
    <w:rsid w:val="00E42658"/>
    <w:pPr>
      <w:numPr>
        <w:numId w:val="2"/>
      </w:numPr>
      <w:spacing w:after="120"/>
    </w:pPr>
    <w:rPr>
      <w:bCs/>
    </w:rPr>
  </w:style>
  <w:style w:type="paragraph" w:customStyle="1" w:styleId="Bullet3">
    <w:name w:val="Bullet 3"/>
    <w:basedOn w:val="Normal"/>
    <w:qFormat/>
    <w:rsid w:val="00E42658"/>
    <w:pPr>
      <w:numPr>
        <w:numId w:val="3"/>
      </w:numPr>
      <w:tabs>
        <w:tab w:val="left" w:pos="1080"/>
      </w:tabs>
      <w:spacing w:after="120"/>
    </w:pPr>
    <w:rPr>
      <w:rFonts w:eastAsia="Calibri"/>
      <w:bCs/>
      <w:noProof/>
    </w:rPr>
  </w:style>
  <w:style w:type="paragraph" w:customStyle="1" w:styleId="ExhibitSourcePortrait">
    <w:name w:val="ExhibitSource_Portrait"/>
    <w:basedOn w:val="Normal"/>
    <w:qFormat/>
    <w:rsid w:val="00912978"/>
    <w:pPr>
      <w:spacing w:before="12600" w:after="120"/>
    </w:pPr>
    <w:rPr>
      <w:i/>
      <w:sz w:val="16"/>
    </w:rPr>
  </w:style>
  <w:style w:type="paragraph" w:customStyle="1" w:styleId="ExhibitSource11x17">
    <w:name w:val="ExhibitSource_11x17"/>
    <w:basedOn w:val="ExhibitSourcePortrait"/>
    <w:qFormat/>
    <w:rsid w:val="00912978"/>
  </w:style>
  <w:style w:type="paragraph" w:customStyle="1" w:styleId="ExhibitSourceLandscape">
    <w:name w:val="ExhibitSource_Landscape"/>
    <w:basedOn w:val="ExhibitSourcePortrait"/>
    <w:qFormat/>
    <w:rsid w:val="00912978"/>
    <w:pPr>
      <w:spacing w:before="9120"/>
      <w:ind w:left="187" w:right="2160"/>
    </w:pPr>
  </w:style>
  <w:style w:type="paragraph" w:customStyle="1" w:styleId="ExhibitTitlePortrait">
    <w:name w:val="ExhibitTitle_Portrait"/>
    <w:basedOn w:val="Normal"/>
    <w:qFormat/>
    <w:rsid w:val="00912978"/>
    <w:pPr>
      <w:tabs>
        <w:tab w:val="right" w:pos="8640"/>
      </w:tabs>
      <w:ind w:right="1440"/>
    </w:pPr>
    <w:rPr>
      <w:rFonts w:ascii="Franklin Gothic Demi" w:hAnsi="Franklin Gothic Demi"/>
    </w:rPr>
  </w:style>
  <w:style w:type="paragraph" w:customStyle="1" w:styleId="ExhibitTitleLandscape">
    <w:name w:val="ExhibitTitle_Landscape"/>
    <w:basedOn w:val="ExhibitTitlePortrait"/>
    <w:qFormat/>
    <w:rsid w:val="00912978"/>
    <w:pPr>
      <w:tabs>
        <w:tab w:val="clear" w:pos="8640"/>
        <w:tab w:val="right" w:pos="12240"/>
      </w:tabs>
    </w:pPr>
  </w:style>
  <w:style w:type="paragraph" w:customStyle="1" w:styleId="ExhibitTitle11x17">
    <w:name w:val="ExhibitTitle11x17"/>
    <w:basedOn w:val="Normal"/>
    <w:qFormat/>
    <w:rsid w:val="00912978"/>
    <w:pPr>
      <w:tabs>
        <w:tab w:val="right" w:pos="20520"/>
      </w:tabs>
      <w:ind w:right="1440"/>
    </w:pPr>
    <w:rPr>
      <w:rFonts w:ascii="Franklin Gothic Demi" w:hAnsi="Franklin Gothic Demi"/>
    </w:rPr>
  </w:style>
  <w:style w:type="paragraph" w:styleId="Footer">
    <w:name w:val="footer"/>
    <w:basedOn w:val="Normal"/>
    <w:link w:val="FooterChar"/>
    <w:uiPriority w:val="99"/>
    <w:rsid w:val="00E42658"/>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E42658"/>
    <w:rPr>
      <w:rFonts w:ascii="Segoe UI Semilight" w:hAnsi="Segoe UI Semilight"/>
      <w:color w:val="404040" w:themeColor="text1" w:themeTint="BF"/>
      <w:w w:val="90"/>
      <w:sz w:val="18"/>
    </w:rPr>
  </w:style>
  <w:style w:type="paragraph" w:customStyle="1" w:styleId="FooterLandscape">
    <w:name w:val="Footer_Landscape"/>
    <w:basedOn w:val="Footer"/>
    <w:qFormat/>
    <w:rsid w:val="00E42658"/>
    <w:pPr>
      <w:tabs>
        <w:tab w:val="clear" w:pos="10080"/>
        <w:tab w:val="right" w:pos="13680"/>
      </w:tabs>
    </w:pPr>
  </w:style>
  <w:style w:type="paragraph" w:customStyle="1" w:styleId="footnote">
    <w:name w:val="footnote"/>
    <w:basedOn w:val="Normal"/>
    <w:qFormat/>
    <w:rsid w:val="00E42658"/>
    <w:pPr>
      <w:ind w:left="180" w:hanging="180"/>
    </w:pPr>
    <w:rPr>
      <w:bCs/>
      <w:sz w:val="16"/>
    </w:rPr>
  </w:style>
  <w:style w:type="paragraph" w:customStyle="1" w:styleId="footnoteref">
    <w:name w:val="footnoteref"/>
    <w:basedOn w:val="Normal"/>
    <w:qFormat/>
    <w:rsid w:val="00E42658"/>
    <w:pPr>
      <w:ind w:left="180" w:hanging="180"/>
    </w:pPr>
    <w:rPr>
      <w:bCs/>
      <w:sz w:val="16"/>
      <w:vertAlign w:val="superscript"/>
    </w:rPr>
  </w:style>
  <w:style w:type="paragraph" w:styleId="Header">
    <w:name w:val="header"/>
    <w:basedOn w:val="Normal"/>
    <w:link w:val="HeaderChar"/>
    <w:uiPriority w:val="99"/>
    <w:rsid w:val="00E42658"/>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E42658"/>
    <w:rPr>
      <w:rFonts w:ascii="Segoe UI Semilight" w:hAnsi="Segoe UI Semilight"/>
      <w:color w:val="404040" w:themeColor="text1" w:themeTint="BF"/>
      <w:w w:val="90"/>
      <w:sz w:val="18"/>
    </w:rPr>
  </w:style>
  <w:style w:type="paragraph" w:customStyle="1" w:styleId="HeaderLandscape">
    <w:name w:val="Header_Landscape"/>
    <w:basedOn w:val="Header"/>
    <w:qFormat/>
    <w:rsid w:val="00E42658"/>
    <w:pPr>
      <w:tabs>
        <w:tab w:val="clear" w:pos="5040"/>
        <w:tab w:val="clear" w:pos="10080"/>
        <w:tab w:val="center" w:pos="6840"/>
        <w:tab w:val="right" w:pos="13680"/>
      </w:tabs>
    </w:pPr>
  </w:style>
  <w:style w:type="character" w:customStyle="1" w:styleId="Heading1Char">
    <w:name w:val="Heading 1 Char"/>
    <w:basedOn w:val="DefaultParagraphFont"/>
    <w:link w:val="Heading1"/>
    <w:uiPriority w:val="9"/>
    <w:rsid w:val="00E42658"/>
    <w:rPr>
      <w:rFonts w:ascii="Trebuchet MS" w:hAnsi="Trebuchet MS"/>
      <w:bCs/>
      <w:caps/>
      <w:sz w:val="36"/>
      <w:szCs w:val="28"/>
    </w:rPr>
  </w:style>
  <w:style w:type="character" w:customStyle="1" w:styleId="Heading2Char">
    <w:name w:val="Heading 2 Char"/>
    <w:basedOn w:val="DefaultParagraphFont"/>
    <w:link w:val="Heading2"/>
    <w:uiPriority w:val="9"/>
    <w:rsid w:val="00E42658"/>
    <w:rPr>
      <w:rFonts w:ascii="Trebuchet MS" w:hAnsi="Trebuchet MS"/>
      <w:caps/>
      <w:sz w:val="32"/>
      <w:szCs w:val="26"/>
    </w:rPr>
  </w:style>
  <w:style w:type="character" w:customStyle="1" w:styleId="Heading3Char">
    <w:name w:val="Heading 3 Char"/>
    <w:basedOn w:val="DefaultParagraphFont"/>
    <w:link w:val="Heading3"/>
    <w:uiPriority w:val="9"/>
    <w:rsid w:val="00E42658"/>
    <w:rPr>
      <w:rFonts w:ascii="Trebuchet MS" w:hAnsi="Trebuchet MS"/>
      <w:bCs/>
      <w:sz w:val="32"/>
    </w:rPr>
  </w:style>
  <w:style w:type="character" w:customStyle="1" w:styleId="Heading4Char">
    <w:name w:val="Heading 4 Char"/>
    <w:basedOn w:val="DefaultParagraphFont"/>
    <w:link w:val="Heading4"/>
    <w:uiPriority w:val="9"/>
    <w:rsid w:val="00E42658"/>
    <w:rPr>
      <w:rFonts w:ascii="Trebuchet MS" w:hAnsi="Trebuchet MS"/>
      <w:caps/>
      <w:sz w:val="28"/>
    </w:rPr>
  </w:style>
  <w:style w:type="character" w:customStyle="1" w:styleId="Heading5Char">
    <w:name w:val="Heading 5 Char"/>
    <w:basedOn w:val="DefaultParagraphFont"/>
    <w:link w:val="Heading5"/>
    <w:uiPriority w:val="9"/>
    <w:rsid w:val="00E42658"/>
    <w:rPr>
      <w:rFonts w:ascii="Trebuchet MS" w:hAnsi="Trebuchet MS"/>
      <w:sz w:val="24"/>
      <w:szCs w:val="26"/>
    </w:rPr>
  </w:style>
  <w:style w:type="character" w:customStyle="1" w:styleId="Heading6Char">
    <w:name w:val="Heading 6 Char"/>
    <w:basedOn w:val="DefaultParagraphFont"/>
    <w:link w:val="Heading6"/>
    <w:uiPriority w:val="9"/>
    <w:rsid w:val="00E42658"/>
    <w:rPr>
      <w:rFonts w:ascii="Trebuchet MS" w:hAnsi="Trebuchet MS"/>
      <w:iCs/>
      <w:sz w:val="20"/>
      <w:u w:val="single"/>
    </w:rPr>
  </w:style>
  <w:style w:type="character" w:customStyle="1" w:styleId="Heading7Char">
    <w:name w:val="Heading 7 Char"/>
    <w:basedOn w:val="DefaultParagraphFont"/>
    <w:link w:val="Heading7"/>
    <w:uiPriority w:val="9"/>
    <w:rsid w:val="00E42658"/>
    <w:rPr>
      <w:rFonts w:ascii="Trebuchet MS" w:hAnsi="Trebuchet MS"/>
      <w:sz w:val="20"/>
    </w:rPr>
  </w:style>
  <w:style w:type="character" w:customStyle="1" w:styleId="Heading8Char">
    <w:name w:val="Heading 8 Char"/>
    <w:basedOn w:val="DefaultParagraphFont"/>
    <w:link w:val="Heading8"/>
    <w:uiPriority w:val="9"/>
    <w:rsid w:val="00E42658"/>
    <w:rPr>
      <w:rFonts w:ascii="Trebuchet MS" w:hAnsi="Trebuchet MS"/>
      <w:sz w:val="20"/>
      <w:szCs w:val="20"/>
    </w:rPr>
  </w:style>
  <w:style w:type="character" w:customStyle="1" w:styleId="Heading9Char">
    <w:name w:val="Heading 9 Char"/>
    <w:basedOn w:val="DefaultParagraphFont"/>
    <w:link w:val="Heading9"/>
    <w:uiPriority w:val="9"/>
    <w:rsid w:val="00E42658"/>
    <w:rPr>
      <w:rFonts w:ascii="Trebuchet MS" w:hAnsi="Trebuchet MS"/>
      <w:iCs/>
      <w:sz w:val="20"/>
      <w:szCs w:val="20"/>
    </w:rPr>
  </w:style>
  <w:style w:type="character" w:styleId="Hyperlink">
    <w:name w:val="Hyperlink"/>
    <w:basedOn w:val="DefaultParagraphFont"/>
    <w:uiPriority w:val="99"/>
    <w:unhideWhenUsed/>
    <w:rsid w:val="00E42658"/>
    <w:rPr>
      <w:color w:val="auto"/>
      <w:u w:val="none"/>
    </w:rPr>
  </w:style>
  <w:style w:type="paragraph" w:customStyle="1" w:styleId="Impactdescription">
    <w:name w:val="Impact description"/>
    <w:basedOn w:val="BodyText"/>
    <w:link w:val="ImpactdescriptionChar"/>
    <w:rsid w:val="00E42658"/>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E42658"/>
  </w:style>
  <w:style w:type="character" w:customStyle="1" w:styleId="ImpactNoChar">
    <w:name w:val="Impact_No. Char"/>
    <w:basedOn w:val="BodyTextChar"/>
    <w:link w:val="ImpactNo"/>
    <w:rsid w:val="00E42658"/>
    <w:rPr>
      <w:rFonts w:ascii="Trebuchet MS" w:hAnsi="Trebuchet MS"/>
      <w:sz w:val="24"/>
      <w:szCs w:val="26"/>
    </w:rPr>
  </w:style>
  <w:style w:type="paragraph" w:customStyle="1" w:styleId="Mitigationtitle">
    <w:name w:val="Mitigation title"/>
    <w:basedOn w:val="Heading5"/>
    <w:link w:val="MitigationtitleChar"/>
    <w:rsid w:val="00E42658"/>
    <w:rPr>
      <w:rFonts w:ascii="Segoe UI Semilight" w:eastAsia="Calibri" w:hAnsi="Segoe UI Semilight"/>
      <w:b/>
      <w:w w:val="90"/>
      <w:sz w:val="22"/>
    </w:rPr>
  </w:style>
  <w:style w:type="paragraph" w:customStyle="1" w:styleId="MMBullet2">
    <w:name w:val="MM Bullet 2"/>
    <w:basedOn w:val="Bullet2"/>
    <w:qFormat/>
    <w:rsid w:val="00E42658"/>
    <w:pPr>
      <w:numPr>
        <w:numId w:val="9"/>
      </w:numPr>
    </w:pPr>
  </w:style>
  <w:style w:type="paragraph" w:customStyle="1" w:styleId="Mitigationtext">
    <w:name w:val="Mitigation text"/>
    <w:basedOn w:val="BodyText"/>
    <w:link w:val="MitigationtextChar"/>
    <w:qFormat/>
    <w:rsid w:val="00E42658"/>
    <w:pPr>
      <w:spacing w:before="60"/>
    </w:pPr>
    <w:rPr>
      <w:spacing w:val="-2"/>
    </w:rPr>
  </w:style>
  <w:style w:type="paragraph" w:customStyle="1" w:styleId="MMBullet1">
    <w:name w:val="MM Bullet 1"/>
    <w:basedOn w:val="Mitigationtext"/>
    <w:qFormat/>
    <w:rsid w:val="00E42658"/>
    <w:pPr>
      <w:numPr>
        <w:numId w:val="6"/>
      </w:numPr>
      <w:spacing w:before="0"/>
    </w:pPr>
  </w:style>
  <w:style w:type="paragraph" w:customStyle="1" w:styleId="TableColumn">
    <w:name w:val="TableColumn"/>
    <w:basedOn w:val="BodyText"/>
    <w:qFormat/>
    <w:rsid w:val="00E42658"/>
    <w:pPr>
      <w:spacing w:after="0"/>
      <w:jc w:val="center"/>
    </w:pPr>
    <w:rPr>
      <w:b/>
      <w:spacing w:val="-4"/>
      <w:w w:val="95"/>
      <w:sz w:val="18"/>
    </w:rPr>
  </w:style>
  <w:style w:type="paragraph" w:customStyle="1" w:styleId="TableBullet1">
    <w:name w:val="Table Bullet 1"/>
    <w:basedOn w:val="Normal"/>
    <w:qFormat/>
    <w:rsid w:val="00E42658"/>
    <w:pPr>
      <w:numPr>
        <w:numId w:val="5"/>
      </w:numPr>
      <w:spacing w:after="60"/>
      <w:ind w:left="187" w:hanging="187"/>
    </w:pPr>
    <w:rPr>
      <w:bCs/>
      <w:w w:val="80"/>
    </w:rPr>
  </w:style>
  <w:style w:type="paragraph" w:customStyle="1" w:styleId="TableHeader">
    <w:name w:val="TableHeader"/>
    <w:basedOn w:val="Normal"/>
    <w:qFormat/>
    <w:rsid w:val="00E42658"/>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E42658"/>
    <w:pPr>
      <w:spacing w:line="240" w:lineRule="exact"/>
      <w:jc w:val="center"/>
    </w:pPr>
    <w:rPr>
      <w:w w:val="90"/>
      <w:sz w:val="18"/>
      <w:szCs w:val="20"/>
    </w:rPr>
  </w:style>
  <w:style w:type="paragraph" w:customStyle="1" w:styleId="TableRow">
    <w:name w:val="TableRow"/>
    <w:basedOn w:val="Normal"/>
    <w:qFormat/>
    <w:rsid w:val="00E42658"/>
    <w:rPr>
      <w:b/>
      <w:bCs/>
      <w:sz w:val="18"/>
    </w:rPr>
  </w:style>
  <w:style w:type="paragraph" w:customStyle="1" w:styleId="TableSource">
    <w:name w:val="TableSource"/>
    <w:basedOn w:val="Normal"/>
    <w:qFormat/>
    <w:rsid w:val="00E42658"/>
    <w:pPr>
      <w:spacing w:after="120"/>
    </w:pPr>
    <w:rPr>
      <w:bCs/>
      <w:color w:val="262626" w:themeColor="text1" w:themeTint="D9"/>
      <w:sz w:val="16"/>
    </w:rPr>
  </w:style>
  <w:style w:type="table" w:styleId="LightShading">
    <w:name w:val="Light Shading"/>
    <w:basedOn w:val="TableNormal"/>
    <w:uiPriority w:val="60"/>
    <w:rsid w:val="00E426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E42658"/>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E42658"/>
    <w:pPr>
      <w:tabs>
        <w:tab w:val="right" w:leader="dot" w:pos="10080"/>
      </w:tabs>
      <w:ind w:left="1440" w:right="720" w:hanging="720"/>
    </w:pPr>
  </w:style>
  <w:style w:type="paragraph" w:styleId="TOC3">
    <w:name w:val="toc 3"/>
    <w:basedOn w:val="Normal"/>
    <w:next w:val="Normal"/>
    <w:autoRedefine/>
    <w:uiPriority w:val="39"/>
    <w:unhideWhenUsed/>
    <w:rsid w:val="00E42658"/>
    <w:pPr>
      <w:tabs>
        <w:tab w:val="right" w:leader="dot" w:pos="10080"/>
      </w:tabs>
      <w:ind w:left="2160" w:right="720" w:hanging="720"/>
    </w:pPr>
  </w:style>
  <w:style w:type="paragraph" w:styleId="TOC4">
    <w:name w:val="toc 4"/>
    <w:basedOn w:val="Normal"/>
    <w:next w:val="Normal"/>
    <w:autoRedefine/>
    <w:uiPriority w:val="39"/>
    <w:rsid w:val="00E42658"/>
    <w:pPr>
      <w:tabs>
        <w:tab w:val="right" w:leader="dot" w:pos="10080"/>
      </w:tabs>
      <w:spacing w:after="100"/>
      <w:ind w:left="1440" w:right="720" w:hanging="1440"/>
    </w:pPr>
  </w:style>
  <w:style w:type="paragraph" w:styleId="TOC5">
    <w:name w:val="toc 5"/>
    <w:basedOn w:val="Normal"/>
    <w:next w:val="Normal"/>
    <w:autoRedefine/>
    <w:uiPriority w:val="39"/>
    <w:rsid w:val="00E42658"/>
    <w:pPr>
      <w:tabs>
        <w:tab w:val="right" w:leader="dot" w:pos="10080"/>
      </w:tabs>
      <w:spacing w:after="100"/>
      <w:ind w:left="720" w:hanging="720"/>
    </w:pPr>
  </w:style>
  <w:style w:type="paragraph" w:customStyle="1" w:styleId="TOCHEAD">
    <w:name w:val="TOCHEAD"/>
    <w:basedOn w:val="Heading1"/>
    <w:qFormat/>
    <w:rsid w:val="00E42658"/>
    <w:pPr>
      <w:numPr>
        <w:numId w:val="0"/>
      </w:numPr>
    </w:pPr>
  </w:style>
  <w:style w:type="table" w:styleId="TableGrid">
    <w:name w:val="Table Grid"/>
    <w:basedOn w:val="TableNormal"/>
    <w:uiPriority w:val="59"/>
    <w:rsid w:val="00E4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
    <w:name w:val="_Default"/>
    <w:basedOn w:val="TableGrid"/>
    <w:uiPriority w:val="99"/>
    <w:rsid w:val="00912978"/>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Segoe UI Semilight" w:hAnsi="Segoe UI Semilight"/>
        <w:b/>
        <w:i w:val="0"/>
        <w:sz w:val="22"/>
      </w:rPr>
      <w:tblPr/>
      <w:tcPr>
        <w:shd w:val="clear" w:color="auto" w:fill="6C9DD5"/>
      </w:tcPr>
    </w:tblStylePr>
  </w:style>
  <w:style w:type="table" w:styleId="TableGrid1">
    <w:name w:val="Table Grid 1"/>
    <w:basedOn w:val="TableNormal"/>
    <w:uiPriority w:val="99"/>
    <w:semiHidden/>
    <w:unhideWhenUsed/>
    <w:rsid w:val="00E4265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1nospace">
    <w:name w:val="Bullet 1_no space"/>
    <w:basedOn w:val="Bullet1"/>
    <w:qFormat/>
    <w:rsid w:val="00912978"/>
    <w:pPr>
      <w:spacing w:after="0"/>
    </w:pPr>
  </w:style>
  <w:style w:type="paragraph" w:customStyle="1" w:styleId="Bullet2nospace">
    <w:name w:val="Bullet 2_no space"/>
    <w:basedOn w:val="Bullet2"/>
    <w:qFormat/>
    <w:rsid w:val="00912978"/>
    <w:pPr>
      <w:spacing w:after="0"/>
    </w:pPr>
  </w:style>
  <w:style w:type="paragraph" w:customStyle="1" w:styleId="Bullet3nospace">
    <w:name w:val="Bullet 3_no space"/>
    <w:basedOn w:val="Bullet3"/>
    <w:qFormat/>
    <w:rsid w:val="00912978"/>
    <w:pPr>
      <w:spacing w:after="0"/>
    </w:pPr>
  </w:style>
  <w:style w:type="paragraph" w:customStyle="1" w:styleId="TableBullet2">
    <w:name w:val="Table Bullet 2"/>
    <w:basedOn w:val="TableBullet1"/>
    <w:qFormat/>
    <w:rsid w:val="00E42658"/>
    <w:pPr>
      <w:numPr>
        <w:numId w:val="7"/>
      </w:numPr>
      <w:ind w:left="374" w:hanging="187"/>
    </w:pPr>
  </w:style>
  <w:style w:type="paragraph" w:customStyle="1" w:styleId="MMBullet1nospace">
    <w:name w:val="MM Bullet 1_no space"/>
    <w:basedOn w:val="MMBullet1"/>
    <w:qFormat/>
    <w:rsid w:val="00912978"/>
    <w:pPr>
      <w:spacing w:after="0"/>
    </w:pPr>
  </w:style>
  <w:style w:type="paragraph" w:customStyle="1" w:styleId="MMBullet2nospace">
    <w:name w:val="MM Bullet 2_no space"/>
    <w:basedOn w:val="MMBullet2"/>
    <w:qFormat/>
    <w:rsid w:val="00912978"/>
    <w:pPr>
      <w:spacing w:after="0"/>
    </w:pPr>
  </w:style>
  <w:style w:type="paragraph" w:customStyle="1" w:styleId="MMBullet3">
    <w:name w:val="MM Bullet 3"/>
    <w:basedOn w:val="BodyText"/>
    <w:qFormat/>
    <w:rsid w:val="00E42658"/>
    <w:pPr>
      <w:numPr>
        <w:numId w:val="8"/>
      </w:numPr>
    </w:pPr>
  </w:style>
  <w:style w:type="paragraph" w:customStyle="1" w:styleId="MMBullet3nospace">
    <w:name w:val="MM Bullet 3_no space"/>
    <w:basedOn w:val="MMBullet3"/>
    <w:qFormat/>
    <w:rsid w:val="00912978"/>
    <w:pPr>
      <w:spacing w:after="0"/>
    </w:pPr>
  </w:style>
  <w:style w:type="paragraph" w:customStyle="1" w:styleId="AppendixLetter">
    <w:name w:val="AppendixLetter"/>
    <w:basedOn w:val="Normal"/>
    <w:qFormat/>
    <w:rsid w:val="00E42658"/>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E42658"/>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E42658"/>
    <w:pPr>
      <w:spacing w:after="200" w:line="276" w:lineRule="auto"/>
      <w:jc w:val="center"/>
    </w:pPr>
    <w:rPr>
      <w:sz w:val="24"/>
      <w:szCs w:val="28"/>
    </w:rPr>
  </w:style>
  <w:style w:type="paragraph" w:customStyle="1" w:styleId="TitleDate">
    <w:name w:val="Title_Date"/>
    <w:basedOn w:val="Normal"/>
    <w:qFormat/>
    <w:rsid w:val="00E42658"/>
    <w:pPr>
      <w:spacing w:before="2640" w:after="200" w:line="276" w:lineRule="auto"/>
      <w:jc w:val="center"/>
    </w:pPr>
    <w:rPr>
      <w:rFonts w:ascii="Trebuchet MS" w:hAnsi="Trebuchet MS"/>
      <w:sz w:val="32"/>
      <w:szCs w:val="28"/>
    </w:rPr>
  </w:style>
  <w:style w:type="paragraph" w:customStyle="1" w:styleId="TitlePN">
    <w:name w:val="Title_PN"/>
    <w:basedOn w:val="Normal"/>
    <w:qFormat/>
    <w:rsid w:val="00E42658"/>
    <w:rPr>
      <w:rFonts w:ascii="Trebuchet MS" w:hAnsi="Trebuchet MS"/>
      <w:sz w:val="16"/>
      <w:szCs w:val="16"/>
    </w:rPr>
  </w:style>
  <w:style w:type="paragraph" w:customStyle="1" w:styleId="TitlePreparedFor">
    <w:name w:val="Title_PreparedFor"/>
    <w:basedOn w:val="Normal"/>
    <w:qFormat/>
    <w:rsid w:val="00E42658"/>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E42658"/>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E42658"/>
    <w:pPr>
      <w:spacing w:before="1440" w:after="120" w:line="560" w:lineRule="exact"/>
      <w:jc w:val="center"/>
    </w:pPr>
    <w:rPr>
      <w:rFonts w:ascii="Trebuchet MS" w:hAnsi="Trebuchet MS"/>
      <w:sz w:val="40"/>
      <w:szCs w:val="36"/>
    </w:rPr>
  </w:style>
  <w:style w:type="paragraph" w:customStyle="1" w:styleId="TitleReportType">
    <w:name w:val="Title_ReportType"/>
    <w:basedOn w:val="Normal"/>
    <w:qFormat/>
    <w:rsid w:val="00912978"/>
    <w:pPr>
      <w:spacing w:before="120" w:after="120" w:line="276" w:lineRule="auto"/>
      <w:jc w:val="center"/>
    </w:pPr>
    <w:rPr>
      <w:rFonts w:ascii="Franklin Gothic Medium" w:hAnsi="Franklin Gothic Medium"/>
      <w:sz w:val="28"/>
      <w:szCs w:val="24"/>
    </w:rPr>
  </w:style>
  <w:style w:type="character" w:customStyle="1" w:styleId="ImpactdescriptionChar">
    <w:name w:val="Impact description Char"/>
    <w:basedOn w:val="DefaultParagraphFont"/>
    <w:link w:val="Impactdescription"/>
    <w:rsid w:val="00E42658"/>
    <w:rPr>
      <w:rFonts w:ascii="Segoe UI Semilight" w:hAnsi="Segoe UI Semilight"/>
      <w:sz w:val="20"/>
    </w:rPr>
  </w:style>
  <w:style w:type="paragraph" w:customStyle="1" w:styleId="TableTextL">
    <w:name w:val="TableTextL"/>
    <w:basedOn w:val="TableText"/>
    <w:qFormat/>
    <w:rsid w:val="00E42658"/>
    <w:pPr>
      <w:jc w:val="left"/>
    </w:pPr>
  </w:style>
  <w:style w:type="character" w:styleId="CommentReference">
    <w:name w:val="annotation reference"/>
    <w:basedOn w:val="DefaultParagraphFont"/>
    <w:uiPriority w:val="99"/>
    <w:unhideWhenUsed/>
    <w:rsid w:val="005669DE"/>
    <w:rPr>
      <w:sz w:val="16"/>
      <w:szCs w:val="16"/>
    </w:rPr>
  </w:style>
  <w:style w:type="paragraph" w:styleId="CommentText">
    <w:name w:val="annotation text"/>
    <w:basedOn w:val="Normal"/>
    <w:link w:val="CommentTextChar"/>
    <w:uiPriority w:val="99"/>
    <w:unhideWhenUsed/>
    <w:rsid w:val="005669DE"/>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5669DE"/>
    <w:rPr>
      <w:rFonts w:ascii="Calibri" w:eastAsia="Times New Roman" w:hAnsi="Calibri" w:cs="Times New Roman"/>
      <w:sz w:val="20"/>
      <w:szCs w:val="20"/>
    </w:rPr>
  </w:style>
  <w:style w:type="paragraph" w:customStyle="1" w:styleId="Bullet112ptAfter">
    <w:name w:val="Bullet 1_12pt_After"/>
    <w:basedOn w:val="Normal"/>
    <w:qFormat/>
    <w:rsid w:val="00A825AB"/>
    <w:pPr>
      <w:spacing w:after="240"/>
      <w:ind w:left="360" w:hanging="360"/>
    </w:pPr>
    <w:rPr>
      <w:rFonts w:ascii="Calibri" w:eastAsia="Times New Roman" w:hAnsi="Calibri" w:cs="Times New Roman"/>
      <w:bCs/>
      <w:szCs w:val="24"/>
    </w:rPr>
  </w:style>
  <w:style w:type="paragraph" w:styleId="CommentSubject">
    <w:name w:val="annotation subject"/>
    <w:basedOn w:val="CommentText"/>
    <w:next w:val="CommentText"/>
    <w:link w:val="CommentSubjectChar"/>
    <w:uiPriority w:val="99"/>
    <w:semiHidden/>
    <w:unhideWhenUsed/>
    <w:rsid w:val="00640D7A"/>
    <w:rPr>
      <w:rFonts w:ascii="Franklin Gothic Book" w:eastAsiaTheme="minorHAnsi" w:hAnsi="Franklin Gothic Book" w:cstheme="minorBidi"/>
      <w:b/>
      <w:bCs/>
    </w:rPr>
  </w:style>
  <w:style w:type="character" w:customStyle="1" w:styleId="CommentSubjectChar">
    <w:name w:val="Comment Subject Char"/>
    <w:basedOn w:val="CommentTextChar"/>
    <w:link w:val="CommentSubject"/>
    <w:uiPriority w:val="99"/>
    <w:semiHidden/>
    <w:rsid w:val="00640D7A"/>
    <w:rPr>
      <w:rFonts w:ascii="Franklin Gothic Book" w:eastAsia="Times New Roman" w:hAnsi="Franklin Gothic Book" w:cs="Times New Roman"/>
      <w:b/>
      <w:bCs/>
      <w:sz w:val="20"/>
      <w:szCs w:val="20"/>
    </w:rPr>
  </w:style>
  <w:style w:type="paragraph" w:customStyle="1" w:styleId="Default0">
    <w:name w:val="Default"/>
    <w:rsid w:val="00285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Reference">
    <w:name w:val="Body Text_Reference"/>
    <w:basedOn w:val="BodyText"/>
    <w:link w:val="BodyTextReferenceChar"/>
    <w:qFormat/>
    <w:rsid w:val="00A570B8"/>
    <w:pPr>
      <w:ind w:left="720" w:hanging="720"/>
    </w:pPr>
    <w:rPr>
      <w:rFonts w:ascii="Calibri" w:eastAsia="Times New Roman" w:hAnsi="Calibri" w:cs="Times New Roman"/>
      <w:szCs w:val="24"/>
    </w:rPr>
  </w:style>
  <w:style w:type="character" w:customStyle="1" w:styleId="BodyTextReferenceChar">
    <w:name w:val="Body Text_Reference Char"/>
    <w:basedOn w:val="DefaultParagraphFont"/>
    <w:link w:val="BodyTextReference"/>
    <w:locked/>
    <w:rsid w:val="00A570B8"/>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2B570C"/>
    <w:rPr>
      <w:color w:val="800080" w:themeColor="followedHyperlink"/>
      <w:u w:val="single"/>
    </w:rPr>
  </w:style>
  <w:style w:type="paragraph" w:styleId="Revision">
    <w:name w:val="Revision"/>
    <w:hidden/>
    <w:uiPriority w:val="99"/>
    <w:semiHidden/>
    <w:rsid w:val="00192AD4"/>
    <w:pPr>
      <w:spacing w:after="0" w:line="240" w:lineRule="auto"/>
    </w:pPr>
    <w:rPr>
      <w:rFonts w:ascii="Franklin Gothic Book" w:hAnsi="Franklin Gothic Book"/>
    </w:rPr>
  </w:style>
  <w:style w:type="paragraph" w:customStyle="1" w:styleId="AgendaDetails">
    <w:name w:val="Agenda_Details"/>
    <w:basedOn w:val="Normal"/>
    <w:uiPriority w:val="99"/>
    <w:qFormat/>
    <w:rsid w:val="00912978"/>
    <w:pPr>
      <w:spacing w:before="240" w:after="240"/>
      <w:jc w:val="center"/>
    </w:pPr>
    <w:rPr>
      <w:rFonts w:ascii="Franklin Gothic Medium" w:hAnsi="Franklin Gothic Medium"/>
      <w:sz w:val="28"/>
      <w:szCs w:val="28"/>
    </w:rPr>
  </w:style>
  <w:style w:type="paragraph" w:styleId="ListParagraph">
    <w:name w:val="List Paragraph"/>
    <w:basedOn w:val="Normal"/>
    <w:uiPriority w:val="34"/>
    <w:qFormat/>
    <w:rsid w:val="00853D0E"/>
    <w:pPr>
      <w:ind w:left="720"/>
      <w:contextualSpacing/>
    </w:pPr>
    <w:rPr>
      <w:rFonts w:ascii="Cambria" w:eastAsia="MS Mincho" w:hAnsi="Cambria" w:cs="Times New Roman"/>
      <w:sz w:val="24"/>
      <w:szCs w:val="24"/>
    </w:rPr>
  </w:style>
  <w:style w:type="paragraph" w:customStyle="1" w:styleId="Exhibit">
    <w:name w:val="Exhibit"/>
    <w:basedOn w:val="Normal"/>
    <w:qFormat/>
    <w:rsid w:val="00E42658"/>
    <w:pPr>
      <w:keepNext/>
      <w:jc w:val="center"/>
    </w:pPr>
  </w:style>
  <w:style w:type="paragraph" w:customStyle="1" w:styleId="ExhibitSource">
    <w:name w:val="ExhibitSource"/>
    <w:basedOn w:val="Normal"/>
    <w:qFormat/>
    <w:rsid w:val="00E42658"/>
    <w:pPr>
      <w:keepNext/>
      <w:spacing w:after="120"/>
    </w:pPr>
    <w:rPr>
      <w:sz w:val="16"/>
    </w:rPr>
  </w:style>
  <w:style w:type="paragraph" w:customStyle="1" w:styleId="ExhibitTitle">
    <w:name w:val="ExhibitTitle"/>
    <w:basedOn w:val="Normal"/>
    <w:qFormat/>
    <w:rsid w:val="00E42658"/>
    <w:pPr>
      <w:spacing w:before="360"/>
    </w:pPr>
    <w:rPr>
      <w:b/>
    </w:rPr>
  </w:style>
  <w:style w:type="character" w:customStyle="1" w:styleId="A8">
    <w:name w:val="A8"/>
    <w:uiPriority w:val="99"/>
    <w:rsid w:val="00F03E08"/>
    <w:rPr>
      <w:rFonts w:cs="FrutigerLight"/>
      <w:color w:val="211D1E"/>
      <w:sz w:val="19"/>
      <w:szCs w:val="19"/>
    </w:rPr>
  </w:style>
  <w:style w:type="paragraph" w:styleId="NormalWeb">
    <w:name w:val="Normal (Web)"/>
    <w:basedOn w:val="Normal"/>
    <w:uiPriority w:val="99"/>
    <w:semiHidden/>
    <w:unhideWhenUsed/>
    <w:rsid w:val="00A13390"/>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DE7484"/>
    <w:rPr>
      <w:color w:val="2B579A"/>
      <w:shd w:val="clear" w:color="auto" w:fill="E6E6E6"/>
    </w:rPr>
  </w:style>
  <w:style w:type="paragraph" w:styleId="Caption">
    <w:name w:val="caption"/>
    <w:basedOn w:val="Normal"/>
    <w:next w:val="Normal"/>
    <w:uiPriority w:val="35"/>
    <w:unhideWhenUsed/>
    <w:qFormat/>
    <w:rsid w:val="00E42658"/>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E426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11x17">
    <w:name w:val="Header_11x17"/>
    <w:basedOn w:val="Header"/>
    <w:qFormat/>
    <w:rsid w:val="00E42658"/>
    <w:pPr>
      <w:tabs>
        <w:tab w:val="clear" w:pos="5040"/>
        <w:tab w:val="clear" w:pos="10080"/>
        <w:tab w:val="center" w:pos="11160"/>
        <w:tab w:val="right" w:pos="22320"/>
      </w:tabs>
    </w:pPr>
  </w:style>
  <w:style w:type="paragraph" w:customStyle="1" w:styleId="Footer11x17">
    <w:name w:val="Footer_11x17"/>
    <w:basedOn w:val="Footer"/>
    <w:qFormat/>
    <w:rsid w:val="00E42658"/>
    <w:pPr>
      <w:tabs>
        <w:tab w:val="clear" w:pos="10080"/>
        <w:tab w:val="right" w:pos="22320"/>
      </w:tabs>
    </w:pPr>
  </w:style>
  <w:style w:type="paragraph" w:customStyle="1" w:styleId="BodyText12ptbefore">
    <w:name w:val="Body Text_12pt before"/>
    <w:basedOn w:val="BodyText"/>
    <w:qFormat/>
    <w:rsid w:val="00E42658"/>
    <w:pPr>
      <w:spacing w:before="240"/>
    </w:pPr>
  </w:style>
  <w:style w:type="character" w:customStyle="1" w:styleId="PhotoChartChar">
    <w:name w:val="Photo/Chart Char"/>
    <w:basedOn w:val="DefaultParagraphFont"/>
    <w:link w:val="PhotoChart"/>
    <w:rsid w:val="00E42658"/>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E42658"/>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E42658"/>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E42658"/>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E42658"/>
    <w:pPr>
      <w:spacing w:after="600"/>
    </w:pPr>
  </w:style>
  <w:style w:type="paragraph" w:customStyle="1" w:styleId="PhotoChartPortraitDoubleLine">
    <w:name w:val="Photo/Chart Portrait Double Line"/>
    <w:basedOn w:val="Normal"/>
    <w:qFormat/>
    <w:rsid w:val="00E42658"/>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E42658"/>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E42658"/>
    <w:pPr>
      <w:ind w:left="1683"/>
    </w:pPr>
  </w:style>
  <w:style w:type="paragraph" w:customStyle="1" w:styleId="CoverReportType">
    <w:name w:val="Cover_Report Type"/>
    <w:basedOn w:val="Normal"/>
    <w:qFormat/>
    <w:rsid w:val="00E42658"/>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E42658"/>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E42658"/>
    <w:pPr>
      <w:spacing w:before="5520"/>
      <w:jc w:val="right"/>
    </w:pPr>
    <w:rPr>
      <w:rFonts w:ascii="Trebuchet MS" w:hAnsi="Trebuchet MS"/>
      <w:color w:val="FFFFFF" w:themeColor="background1"/>
      <w:sz w:val="22"/>
    </w:rPr>
  </w:style>
  <w:style w:type="paragraph" w:customStyle="1" w:styleId="CoverDate">
    <w:name w:val="Cover_Date"/>
    <w:basedOn w:val="Normal"/>
    <w:qFormat/>
    <w:rsid w:val="00E42658"/>
    <w:pPr>
      <w:spacing w:before="1320"/>
      <w:jc w:val="right"/>
    </w:pPr>
    <w:rPr>
      <w:rFonts w:ascii="Trebuchet MS" w:hAnsi="Trebuchet MS"/>
      <w:color w:val="FFFFFF" w:themeColor="background1"/>
      <w:sz w:val="32"/>
      <w:szCs w:val="32"/>
    </w:rPr>
  </w:style>
  <w:style w:type="paragraph" w:customStyle="1" w:styleId="Figure">
    <w:name w:val="Figure"/>
    <w:basedOn w:val="Normal"/>
    <w:qFormat/>
    <w:rsid w:val="00E42658"/>
    <w:pPr>
      <w:keepNext/>
      <w:jc w:val="center"/>
    </w:pPr>
  </w:style>
  <w:style w:type="paragraph" w:customStyle="1" w:styleId="FigureSource">
    <w:name w:val="FigureSource"/>
    <w:basedOn w:val="Normal"/>
    <w:qFormat/>
    <w:rsid w:val="00E42658"/>
    <w:pPr>
      <w:keepNext/>
      <w:spacing w:after="120"/>
    </w:pPr>
    <w:rPr>
      <w:sz w:val="16"/>
    </w:rPr>
  </w:style>
  <w:style w:type="paragraph" w:customStyle="1" w:styleId="FigureTitle">
    <w:name w:val="FigureTitle"/>
    <w:basedOn w:val="Normal"/>
    <w:qFormat/>
    <w:rsid w:val="00E42658"/>
    <w:pPr>
      <w:spacing w:before="360"/>
    </w:pPr>
    <w:rPr>
      <w:b/>
    </w:rPr>
  </w:style>
  <w:style w:type="character" w:customStyle="1" w:styleId="UnresolvedMention1">
    <w:name w:val="Unresolved Mention1"/>
    <w:basedOn w:val="DefaultParagraphFont"/>
    <w:uiPriority w:val="99"/>
    <w:semiHidden/>
    <w:unhideWhenUsed/>
    <w:rsid w:val="006C3C24"/>
    <w:rPr>
      <w:color w:val="605E5C"/>
      <w:shd w:val="clear" w:color="auto" w:fill="E1DFDD"/>
    </w:rPr>
  </w:style>
  <w:style w:type="paragraph" w:styleId="NoSpacing">
    <w:name w:val="No Spacing"/>
    <w:uiPriority w:val="1"/>
    <w:qFormat/>
    <w:rsid w:val="00F672C4"/>
    <w:pPr>
      <w:spacing w:after="0" w:line="240" w:lineRule="auto"/>
    </w:pPr>
    <w:rPr>
      <w:rFonts w:ascii="Segoe UI Semilight" w:hAnsi="Segoe UI Semilight"/>
      <w:sz w:val="20"/>
    </w:rPr>
  </w:style>
  <w:style w:type="character" w:customStyle="1" w:styleId="MitigationtitleChar">
    <w:name w:val="Mitigation title Char"/>
    <w:basedOn w:val="DefaultParagraphFont"/>
    <w:link w:val="Mitigationtitle"/>
    <w:rsid w:val="007B2DBD"/>
    <w:rPr>
      <w:rFonts w:ascii="Segoe UI Semilight" w:eastAsia="Calibri" w:hAnsi="Segoe UI Semilight"/>
      <w:b/>
      <w:w w:val="90"/>
      <w:szCs w:val="26"/>
    </w:rPr>
  </w:style>
  <w:style w:type="character" w:customStyle="1" w:styleId="MitigationtextChar">
    <w:name w:val="Mitigation text Char"/>
    <w:basedOn w:val="DefaultParagraphFont"/>
    <w:link w:val="Mitigationtext"/>
    <w:rsid w:val="007B2DBD"/>
    <w:rPr>
      <w:rFonts w:ascii="Segoe UI Semilight" w:hAnsi="Segoe UI Semilight"/>
      <w:spacing w:val="-2"/>
      <w:sz w:val="20"/>
    </w:rPr>
  </w:style>
  <w:style w:type="character" w:customStyle="1" w:styleId="Bullet1Char">
    <w:name w:val="Bullet 1 Char"/>
    <w:basedOn w:val="DefaultParagraphFont"/>
    <w:link w:val="Bullet1"/>
    <w:locked/>
    <w:rsid w:val="00196FD1"/>
    <w:rPr>
      <w:rFonts w:ascii="Segoe UI Semilight" w:hAnsi="Segoe UI Semilight"/>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24">
      <w:bodyDiv w:val="1"/>
      <w:marLeft w:val="0"/>
      <w:marRight w:val="0"/>
      <w:marTop w:val="0"/>
      <w:marBottom w:val="0"/>
      <w:divBdr>
        <w:top w:val="none" w:sz="0" w:space="0" w:color="auto"/>
        <w:left w:val="none" w:sz="0" w:space="0" w:color="auto"/>
        <w:bottom w:val="none" w:sz="0" w:space="0" w:color="auto"/>
        <w:right w:val="none" w:sz="0" w:space="0" w:color="auto"/>
      </w:divBdr>
    </w:div>
    <w:div w:id="216090086">
      <w:bodyDiv w:val="1"/>
      <w:marLeft w:val="0"/>
      <w:marRight w:val="0"/>
      <w:marTop w:val="0"/>
      <w:marBottom w:val="0"/>
      <w:divBdr>
        <w:top w:val="none" w:sz="0" w:space="0" w:color="auto"/>
        <w:left w:val="none" w:sz="0" w:space="0" w:color="auto"/>
        <w:bottom w:val="none" w:sz="0" w:space="0" w:color="auto"/>
        <w:right w:val="none" w:sz="0" w:space="0" w:color="auto"/>
      </w:divBdr>
      <w:divsChild>
        <w:div w:id="760679302">
          <w:marLeft w:val="0"/>
          <w:marRight w:val="0"/>
          <w:marTop w:val="0"/>
          <w:marBottom w:val="240"/>
          <w:divBdr>
            <w:top w:val="none" w:sz="0" w:space="0" w:color="auto"/>
            <w:left w:val="none" w:sz="0" w:space="0" w:color="auto"/>
            <w:bottom w:val="inset" w:sz="6" w:space="0" w:color="AAAABB"/>
            <w:right w:val="none" w:sz="0" w:space="0" w:color="auto"/>
          </w:divBdr>
        </w:div>
      </w:divsChild>
    </w:div>
    <w:div w:id="262809311">
      <w:bodyDiv w:val="1"/>
      <w:marLeft w:val="0"/>
      <w:marRight w:val="0"/>
      <w:marTop w:val="0"/>
      <w:marBottom w:val="0"/>
      <w:divBdr>
        <w:top w:val="none" w:sz="0" w:space="0" w:color="auto"/>
        <w:left w:val="none" w:sz="0" w:space="0" w:color="auto"/>
        <w:bottom w:val="none" w:sz="0" w:space="0" w:color="auto"/>
        <w:right w:val="none" w:sz="0" w:space="0" w:color="auto"/>
      </w:divBdr>
    </w:div>
    <w:div w:id="306856467">
      <w:bodyDiv w:val="1"/>
      <w:marLeft w:val="0"/>
      <w:marRight w:val="0"/>
      <w:marTop w:val="0"/>
      <w:marBottom w:val="0"/>
      <w:divBdr>
        <w:top w:val="none" w:sz="0" w:space="0" w:color="auto"/>
        <w:left w:val="none" w:sz="0" w:space="0" w:color="auto"/>
        <w:bottom w:val="none" w:sz="0" w:space="0" w:color="auto"/>
        <w:right w:val="none" w:sz="0" w:space="0" w:color="auto"/>
      </w:divBdr>
    </w:div>
    <w:div w:id="327293239">
      <w:bodyDiv w:val="1"/>
      <w:marLeft w:val="0"/>
      <w:marRight w:val="0"/>
      <w:marTop w:val="0"/>
      <w:marBottom w:val="0"/>
      <w:divBdr>
        <w:top w:val="none" w:sz="0" w:space="0" w:color="auto"/>
        <w:left w:val="none" w:sz="0" w:space="0" w:color="auto"/>
        <w:bottom w:val="none" w:sz="0" w:space="0" w:color="auto"/>
        <w:right w:val="none" w:sz="0" w:space="0" w:color="auto"/>
      </w:divBdr>
    </w:div>
    <w:div w:id="462120973">
      <w:bodyDiv w:val="1"/>
      <w:marLeft w:val="0"/>
      <w:marRight w:val="0"/>
      <w:marTop w:val="0"/>
      <w:marBottom w:val="0"/>
      <w:divBdr>
        <w:top w:val="none" w:sz="0" w:space="0" w:color="auto"/>
        <w:left w:val="none" w:sz="0" w:space="0" w:color="auto"/>
        <w:bottom w:val="none" w:sz="0" w:space="0" w:color="auto"/>
        <w:right w:val="none" w:sz="0" w:space="0" w:color="auto"/>
      </w:divBdr>
    </w:div>
    <w:div w:id="479734367">
      <w:bodyDiv w:val="1"/>
      <w:marLeft w:val="0"/>
      <w:marRight w:val="0"/>
      <w:marTop w:val="0"/>
      <w:marBottom w:val="0"/>
      <w:divBdr>
        <w:top w:val="none" w:sz="0" w:space="0" w:color="auto"/>
        <w:left w:val="none" w:sz="0" w:space="0" w:color="auto"/>
        <w:bottom w:val="none" w:sz="0" w:space="0" w:color="auto"/>
        <w:right w:val="none" w:sz="0" w:space="0" w:color="auto"/>
      </w:divBdr>
    </w:div>
    <w:div w:id="490831175">
      <w:bodyDiv w:val="1"/>
      <w:marLeft w:val="0"/>
      <w:marRight w:val="0"/>
      <w:marTop w:val="0"/>
      <w:marBottom w:val="0"/>
      <w:divBdr>
        <w:top w:val="none" w:sz="0" w:space="0" w:color="auto"/>
        <w:left w:val="none" w:sz="0" w:space="0" w:color="auto"/>
        <w:bottom w:val="none" w:sz="0" w:space="0" w:color="auto"/>
        <w:right w:val="none" w:sz="0" w:space="0" w:color="auto"/>
      </w:divBdr>
    </w:div>
    <w:div w:id="572660083">
      <w:bodyDiv w:val="1"/>
      <w:marLeft w:val="0"/>
      <w:marRight w:val="0"/>
      <w:marTop w:val="0"/>
      <w:marBottom w:val="0"/>
      <w:divBdr>
        <w:top w:val="none" w:sz="0" w:space="0" w:color="auto"/>
        <w:left w:val="none" w:sz="0" w:space="0" w:color="auto"/>
        <w:bottom w:val="none" w:sz="0" w:space="0" w:color="auto"/>
        <w:right w:val="none" w:sz="0" w:space="0" w:color="auto"/>
      </w:divBdr>
    </w:div>
    <w:div w:id="603609223">
      <w:bodyDiv w:val="1"/>
      <w:marLeft w:val="0"/>
      <w:marRight w:val="0"/>
      <w:marTop w:val="0"/>
      <w:marBottom w:val="0"/>
      <w:divBdr>
        <w:top w:val="none" w:sz="0" w:space="0" w:color="auto"/>
        <w:left w:val="none" w:sz="0" w:space="0" w:color="auto"/>
        <w:bottom w:val="none" w:sz="0" w:space="0" w:color="auto"/>
        <w:right w:val="none" w:sz="0" w:space="0" w:color="auto"/>
      </w:divBdr>
    </w:div>
    <w:div w:id="1230190324">
      <w:bodyDiv w:val="1"/>
      <w:marLeft w:val="0"/>
      <w:marRight w:val="0"/>
      <w:marTop w:val="0"/>
      <w:marBottom w:val="0"/>
      <w:divBdr>
        <w:top w:val="none" w:sz="0" w:space="0" w:color="auto"/>
        <w:left w:val="none" w:sz="0" w:space="0" w:color="auto"/>
        <w:bottom w:val="none" w:sz="0" w:space="0" w:color="auto"/>
        <w:right w:val="none" w:sz="0" w:space="0" w:color="auto"/>
      </w:divBdr>
      <w:divsChild>
        <w:div w:id="854996747">
          <w:marLeft w:val="0"/>
          <w:marRight w:val="0"/>
          <w:marTop w:val="0"/>
          <w:marBottom w:val="240"/>
          <w:divBdr>
            <w:top w:val="none" w:sz="0" w:space="0" w:color="auto"/>
            <w:left w:val="none" w:sz="0" w:space="0" w:color="auto"/>
            <w:bottom w:val="inset" w:sz="6" w:space="0" w:color="AAAABB"/>
            <w:right w:val="none" w:sz="0" w:space="0" w:color="auto"/>
          </w:divBdr>
        </w:div>
      </w:divsChild>
    </w:div>
    <w:div w:id="1259677146">
      <w:bodyDiv w:val="1"/>
      <w:marLeft w:val="0"/>
      <w:marRight w:val="0"/>
      <w:marTop w:val="0"/>
      <w:marBottom w:val="0"/>
      <w:divBdr>
        <w:top w:val="none" w:sz="0" w:space="0" w:color="auto"/>
        <w:left w:val="none" w:sz="0" w:space="0" w:color="auto"/>
        <w:bottom w:val="none" w:sz="0" w:space="0" w:color="auto"/>
        <w:right w:val="none" w:sz="0" w:space="0" w:color="auto"/>
      </w:divBdr>
      <w:divsChild>
        <w:div w:id="660699737">
          <w:marLeft w:val="0"/>
          <w:marRight w:val="0"/>
          <w:marTop w:val="0"/>
          <w:marBottom w:val="0"/>
          <w:divBdr>
            <w:top w:val="none" w:sz="0" w:space="0" w:color="auto"/>
            <w:left w:val="none" w:sz="0" w:space="0" w:color="auto"/>
            <w:bottom w:val="none" w:sz="0" w:space="0" w:color="auto"/>
            <w:right w:val="none" w:sz="0" w:space="0" w:color="auto"/>
          </w:divBdr>
          <w:divsChild>
            <w:div w:id="798112846">
              <w:marLeft w:val="0"/>
              <w:marRight w:val="0"/>
              <w:marTop w:val="0"/>
              <w:marBottom w:val="0"/>
              <w:divBdr>
                <w:top w:val="none" w:sz="0" w:space="0" w:color="auto"/>
                <w:left w:val="none" w:sz="0" w:space="0" w:color="auto"/>
                <w:bottom w:val="none" w:sz="0" w:space="0" w:color="auto"/>
                <w:right w:val="none" w:sz="0" w:space="0" w:color="auto"/>
              </w:divBdr>
              <w:divsChild>
                <w:div w:id="1726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4743">
      <w:bodyDiv w:val="1"/>
      <w:marLeft w:val="0"/>
      <w:marRight w:val="0"/>
      <w:marTop w:val="0"/>
      <w:marBottom w:val="0"/>
      <w:divBdr>
        <w:top w:val="none" w:sz="0" w:space="0" w:color="auto"/>
        <w:left w:val="none" w:sz="0" w:space="0" w:color="auto"/>
        <w:bottom w:val="none" w:sz="0" w:space="0" w:color="auto"/>
        <w:right w:val="none" w:sz="0" w:space="0" w:color="auto"/>
      </w:divBdr>
    </w:div>
    <w:div w:id="1425766700">
      <w:bodyDiv w:val="1"/>
      <w:marLeft w:val="0"/>
      <w:marRight w:val="0"/>
      <w:marTop w:val="0"/>
      <w:marBottom w:val="0"/>
      <w:divBdr>
        <w:top w:val="none" w:sz="0" w:space="0" w:color="auto"/>
        <w:left w:val="none" w:sz="0" w:space="0" w:color="auto"/>
        <w:bottom w:val="none" w:sz="0" w:space="0" w:color="auto"/>
        <w:right w:val="none" w:sz="0" w:space="0" w:color="auto"/>
      </w:divBdr>
    </w:div>
    <w:div w:id="1487672326">
      <w:bodyDiv w:val="1"/>
      <w:marLeft w:val="0"/>
      <w:marRight w:val="0"/>
      <w:marTop w:val="0"/>
      <w:marBottom w:val="0"/>
      <w:divBdr>
        <w:top w:val="none" w:sz="0" w:space="0" w:color="auto"/>
        <w:left w:val="none" w:sz="0" w:space="0" w:color="auto"/>
        <w:bottom w:val="none" w:sz="0" w:space="0" w:color="auto"/>
        <w:right w:val="none" w:sz="0" w:space="0" w:color="auto"/>
      </w:divBdr>
    </w:div>
    <w:div w:id="1590888770">
      <w:bodyDiv w:val="1"/>
      <w:marLeft w:val="0"/>
      <w:marRight w:val="0"/>
      <w:marTop w:val="0"/>
      <w:marBottom w:val="0"/>
      <w:divBdr>
        <w:top w:val="none" w:sz="0" w:space="0" w:color="auto"/>
        <w:left w:val="none" w:sz="0" w:space="0" w:color="auto"/>
        <w:bottom w:val="none" w:sz="0" w:space="0" w:color="auto"/>
        <w:right w:val="none" w:sz="0" w:space="0" w:color="auto"/>
      </w:divBdr>
    </w:div>
    <w:div w:id="1626500574">
      <w:bodyDiv w:val="1"/>
      <w:marLeft w:val="0"/>
      <w:marRight w:val="0"/>
      <w:marTop w:val="0"/>
      <w:marBottom w:val="0"/>
      <w:divBdr>
        <w:top w:val="none" w:sz="0" w:space="0" w:color="auto"/>
        <w:left w:val="none" w:sz="0" w:space="0" w:color="auto"/>
        <w:bottom w:val="none" w:sz="0" w:space="0" w:color="auto"/>
        <w:right w:val="none" w:sz="0" w:space="0" w:color="auto"/>
      </w:divBdr>
    </w:div>
    <w:div w:id="1636370390">
      <w:bodyDiv w:val="1"/>
      <w:marLeft w:val="0"/>
      <w:marRight w:val="0"/>
      <w:marTop w:val="0"/>
      <w:marBottom w:val="0"/>
      <w:divBdr>
        <w:top w:val="none" w:sz="0" w:space="0" w:color="auto"/>
        <w:left w:val="none" w:sz="0" w:space="0" w:color="auto"/>
        <w:bottom w:val="none" w:sz="0" w:space="0" w:color="auto"/>
        <w:right w:val="none" w:sz="0" w:space="0" w:color="auto"/>
      </w:divBdr>
    </w:div>
    <w:div w:id="1858154235">
      <w:bodyDiv w:val="1"/>
      <w:marLeft w:val="0"/>
      <w:marRight w:val="0"/>
      <w:marTop w:val="0"/>
      <w:marBottom w:val="0"/>
      <w:divBdr>
        <w:top w:val="none" w:sz="0" w:space="0" w:color="auto"/>
        <w:left w:val="none" w:sz="0" w:space="0" w:color="auto"/>
        <w:bottom w:val="none" w:sz="0" w:space="0" w:color="auto"/>
        <w:right w:val="none" w:sz="0" w:space="0" w:color="auto"/>
      </w:divBdr>
    </w:div>
    <w:div w:id="1920166021">
      <w:bodyDiv w:val="1"/>
      <w:marLeft w:val="0"/>
      <w:marRight w:val="0"/>
      <w:marTop w:val="0"/>
      <w:marBottom w:val="0"/>
      <w:divBdr>
        <w:top w:val="none" w:sz="0" w:space="0" w:color="auto"/>
        <w:left w:val="none" w:sz="0" w:space="0" w:color="auto"/>
        <w:bottom w:val="none" w:sz="0" w:space="0" w:color="auto"/>
        <w:right w:val="none" w:sz="0" w:space="0" w:color="auto"/>
      </w:divBdr>
    </w:div>
    <w:div w:id="1925650281">
      <w:bodyDiv w:val="1"/>
      <w:marLeft w:val="0"/>
      <w:marRight w:val="0"/>
      <w:marTop w:val="0"/>
      <w:marBottom w:val="0"/>
      <w:divBdr>
        <w:top w:val="none" w:sz="0" w:space="0" w:color="auto"/>
        <w:left w:val="none" w:sz="0" w:space="0" w:color="auto"/>
        <w:bottom w:val="none" w:sz="0" w:space="0" w:color="auto"/>
        <w:right w:val="none" w:sz="0" w:space="0" w:color="auto"/>
      </w:divBdr>
    </w:div>
    <w:div w:id="2108840850">
      <w:bodyDiv w:val="1"/>
      <w:marLeft w:val="0"/>
      <w:marRight w:val="0"/>
      <w:marTop w:val="0"/>
      <w:marBottom w:val="0"/>
      <w:divBdr>
        <w:top w:val="none" w:sz="0" w:space="0" w:color="auto"/>
        <w:left w:val="none" w:sz="0" w:space="0" w:color="auto"/>
        <w:bottom w:val="none" w:sz="0" w:space="0" w:color="auto"/>
        <w:right w:val="none" w:sz="0" w:space="0" w:color="auto"/>
      </w:divBdr>
    </w:div>
    <w:div w:id="21260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D670-D36D-44A6-9C16-ACDFA4CA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6823</Words>
  <Characters>38897</Characters>
  <Application>Microsoft Office Word</Application>
  <DocSecurity>8</DocSecurity>
  <PresentationFormat/>
  <Lines>324</Lines>
  <Paragraphs>91</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45629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dc:description/>
  <cp:lastModifiedBy>Kemp, Mazonika@BOF</cp:lastModifiedBy>
  <cp:revision>3</cp:revision>
  <dcterms:created xsi:type="dcterms:W3CDTF">2019-11-25T22:33:00Z</dcterms:created>
  <dcterms:modified xsi:type="dcterms:W3CDTF">2019-11-27T17:01:00Z</dcterms:modified>
</cp:coreProperties>
</file>