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A3593" w14:textId="77777777" w:rsidR="00FA4A73" w:rsidRPr="00FE0C7A" w:rsidRDefault="00FA4A73" w:rsidP="00FA4A73">
      <w:pPr>
        <w:rPr>
          <w:color w:val="FFFFFF" w:themeColor="background1"/>
        </w:rPr>
      </w:pPr>
      <w:bookmarkStart w:id="0" w:name="_Toc322726811"/>
      <w:bookmarkStart w:id="1" w:name="_Toc480195406"/>
      <w:bookmarkStart w:id="2" w:name="_Toc485802920"/>
      <w:bookmarkStart w:id="3" w:name="_Toc514146161"/>
      <w:bookmarkStart w:id="4" w:name="_GoBack"/>
      <w:bookmarkEnd w:id="4"/>
      <w:r w:rsidRPr="00FE0C7A">
        <w:rPr>
          <w:color w:val="FFFFFF" w:themeColor="background1"/>
        </w:rPr>
        <w:t>Please adjust your screen reader settings to recognize underline and strikethrough text.</w:t>
      </w:r>
    </w:p>
    <w:p w14:paraId="4F19B068" w14:textId="5CEC46D8" w:rsidR="0010048A" w:rsidRDefault="002D5F04" w:rsidP="007A7820">
      <w:pPr>
        <w:pStyle w:val="Heading1"/>
        <w:numPr>
          <w:ilvl w:val="0"/>
          <w:numId w:val="0"/>
        </w:numPr>
      </w:pPr>
      <w:bookmarkStart w:id="5" w:name="_Toc24009440"/>
      <w:r w:rsidRPr="003718B8">
        <w:t xml:space="preserve">Executive </w:t>
      </w:r>
      <w:r w:rsidR="0010048A" w:rsidRPr="003718B8">
        <w:t>SUMMARY</w:t>
      </w:r>
      <w:bookmarkEnd w:id="0"/>
      <w:bookmarkEnd w:id="1"/>
      <w:bookmarkEnd w:id="2"/>
      <w:bookmarkEnd w:id="3"/>
      <w:bookmarkEnd w:id="5"/>
    </w:p>
    <w:p w14:paraId="6F66C314" w14:textId="674D7F89" w:rsidR="00040702" w:rsidRPr="00040702" w:rsidRDefault="00040702" w:rsidP="0014348A">
      <w:pPr>
        <w:pStyle w:val="BodyText"/>
      </w:pPr>
      <w:r>
        <w:t xml:space="preserve">This Program Environmental Impact Report (PEIR) evaluates the environmental impacts of the proposed California </w:t>
      </w:r>
      <w:r w:rsidRPr="00676514">
        <w:t>Vegetation Treatment Program (</w:t>
      </w:r>
      <w:r>
        <w:t>Cal</w:t>
      </w:r>
      <w:r w:rsidRPr="00676514">
        <w:t>VTP)</w:t>
      </w:r>
      <w:r>
        <w:t xml:space="preserve">. </w:t>
      </w:r>
      <w:r w:rsidR="00C751AD">
        <w:t>It</w:t>
      </w:r>
      <w:r>
        <w:t xml:space="preserve"> has been prepared according to the requirements of the California Environmental Quality Act (CEQA) (Public Resources Code [PRC] Section 21000 et seq.) and the State CEQA Guidelines (California Code of Regulations [CCR] Section 15000 et seq.) under the direction of the </w:t>
      </w:r>
      <w:r w:rsidRPr="00676514">
        <w:t>California Board of Forestry and Fire Protection (B</w:t>
      </w:r>
      <w:r>
        <w:t>oard</w:t>
      </w:r>
      <w:r w:rsidRPr="00676514">
        <w:t>)</w:t>
      </w:r>
      <w:r>
        <w:t xml:space="preserve"> and in cooperation with the California Department of Forestry and Fire Protection (CAL FIRE)</w:t>
      </w:r>
      <w:bookmarkStart w:id="6" w:name="_Hlk7786030"/>
      <w:r>
        <w:t xml:space="preserve">. The Board is the CEQA lead agency. CAL FIRE, a CEQA responsible agency for implementing the CalVTP, </w:t>
      </w:r>
      <w:r w:rsidRPr="00BF1048">
        <w:t xml:space="preserve">has the primary responsibility for preventing and suppressing fires within the </w:t>
      </w:r>
      <w:r>
        <w:t>State Responsibility Area (</w:t>
      </w:r>
      <w:r w:rsidRPr="00BF1048">
        <w:t>SRA</w:t>
      </w:r>
      <w:r>
        <w:t xml:space="preserve">) </w:t>
      </w:r>
      <w:r w:rsidRPr="00BF1048">
        <w:t>(PRC Sections 4113 and 4125).</w:t>
      </w:r>
      <w:r>
        <w:t xml:space="preserve"> Additionally, many local, regional, and state agencies with land ownership or land management responsibilities in the SRA could implement proposed CalVTP vegetation treatments</w:t>
      </w:r>
      <w:r w:rsidR="000A09E7">
        <w:t xml:space="preserve"> and use</w:t>
      </w:r>
      <w:r w:rsidR="00154F60">
        <w:t xml:space="preserve"> this PEIR for CEQA compliance</w:t>
      </w:r>
      <w:r>
        <w:t>.</w:t>
      </w:r>
      <w:bookmarkEnd w:id="6"/>
    </w:p>
    <w:p w14:paraId="30676228" w14:textId="3D3947BF" w:rsidR="00E25C83" w:rsidRPr="00E25C83" w:rsidRDefault="00E25C83" w:rsidP="0014348A">
      <w:pPr>
        <w:pStyle w:val="BodyText"/>
      </w:pPr>
      <w:r w:rsidRPr="002A04F5">
        <w:t xml:space="preserve">This summary is provided in accordance with State CEQA Guidelines Section 15123. </w:t>
      </w:r>
      <w:r w:rsidR="00C751AD">
        <w:t>It</w:t>
      </w:r>
      <w:r w:rsidRPr="002A04F5">
        <w:t xml:space="preserve"> </w:t>
      </w:r>
      <w:r>
        <w:t>presents</w:t>
      </w:r>
      <w:r w:rsidRPr="002A04F5">
        <w:t xml:space="preserve"> (1) a summary description of the</w:t>
      </w:r>
      <w:r>
        <w:t xml:space="preserve"> proposed CalVTP</w:t>
      </w:r>
      <w:r w:rsidRPr="002A04F5">
        <w:t xml:space="preserve">, (2) a synopsis of </w:t>
      </w:r>
      <w:r w:rsidR="00F87679">
        <w:t xml:space="preserve">significant </w:t>
      </w:r>
      <w:r w:rsidRPr="002A04F5">
        <w:t xml:space="preserve">environmental impacts and </w:t>
      </w:r>
      <w:r w:rsidR="00F87679">
        <w:t>feasible</w:t>
      </w:r>
      <w:r w:rsidR="00F87679" w:rsidRPr="002A04F5">
        <w:t xml:space="preserve"> </w:t>
      </w:r>
      <w:r w:rsidRPr="002A04F5">
        <w:t xml:space="preserve">mitigation measures (Table </w:t>
      </w:r>
      <w:r>
        <w:t>ES</w:t>
      </w:r>
      <w:r w:rsidRPr="002A04F5">
        <w:t xml:space="preserve">-1), (3) </w:t>
      </w:r>
      <w:r w:rsidR="00C751AD">
        <w:t xml:space="preserve">an </w:t>
      </w:r>
      <w:r w:rsidR="00F87679">
        <w:t>overview</w:t>
      </w:r>
      <w:r w:rsidR="00F87679" w:rsidRPr="002A04F5">
        <w:t xml:space="preserve"> </w:t>
      </w:r>
      <w:r w:rsidRPr="002A04F5">
        <w:t xml:space="preserve">of the alternatives evaluated and </w:t>
      </w:r>
      <w:r w:rsidR="00C751AD">
        <w:t xml:space="preserve">a </w:t>
      </w:r>
      <w:r w:rsidR="00F87679">
        <w:t xml:space="preserve">conclusion regarding identification </w:t>
      </w:r>
      <w:r w:rsidRPr="002A04F5">
        <w:t xml:space="preserve">of </w:t>
      </w:r>
      <w:r w:rsidR="00F87679">
        <w:t>an</w:t>
      </w:r>
      <w:r w:rsidR="00F87679" w:rsidRPr="002A04F5">
        <w:t xml:space="preserve"> </w:t>
      </w:r>
      <w:r w:rsidRPr="002A04F5">
        <w:t xml:space="preserve">environmentally superior alternative (4) a discussion of the areas of controversy </w:t>
      </w:r>
      <w:r w:rsidR="00F87679">
        <w:t xml:space="preserve">and issues to be resolved </w:t>
      </w:r>
      <w:r w:rsidRPr="002A04F5">
        <w:t>associated with the</w:t>
      </w:r>
      <w:r>
        <w:t> proposed program</w:t>
      </w:r>
      <w:r w:rsidR="00C751AD">
        <w:t>, and (5) a description of the intended uses of this PEIR</w:t>
      </w:r>
      <w:r w:rsidRPr="002A04F5">
        <w:t>.</w:t>
      </w:r>
    </w:p>
    <w:p w14:paraId="2C7999F9" w14:textId="55E8F6E8" w:rsidR="00DE62D1" w:rsidRDefault="00DE62D1" w:rsidP="00DE62D1">
      <w:pPr>
        <w:pStyle w:val="Heading2"/>
      </w:pPr>
      <w:bookmarkStart w:id="7" w:name="_Toc480195407"/>
      <w:bookmarkStart w:id="8" w:name="_Toc485802921"/>
      <w:bookmarkStart w:id="9" w:name="_Toc514146162"/>
      <w:bookmarkStart w:id="10" w:name="_Toc24009441"/>
      <w:bookmarkStart w:id="11" w:name="_Toc322135573"/>
      <w:bookmarkStart w:id="12" w:name="_Toc322726817"/>
      <w:r>
        <w:t>Introduction</w:t>
      </w:r>
      <w:bookmarkEnd w:id="7"/>
      <w:bookmarkEnd w:id="8"/>
      <w:bookmarkEnd w:id="9"/>
      <w:bookmarkEnd w:id="10"/>
    </w:p>
    <w:p w14:paraId="06F492F9" w14:textId="5DE38460" w:rsidR="001A3236" w:rsidRDefault="001A3236" w:rsidP="0014348A">
      <w:pPr>
        <w:pStyle w:val="BodyText"/>
      </w:pPr>
      <w:r>
        <w:t>California is experiencing a wildfire crisis. As noted in a report of the Governor</w:t>
      </w:r>
      <w:r w:rsidR="000868F0">
        <w:t>’</w:t>
      </w:r>
      <w:r>
        <w:t>s Wildfire Strike Force (2019):</w:t>
      </w:r>
    </w:p>
    <w:p w14:paraId="6FB719C5" w14:textId="7307D331" w:rsidR="001A3236" w:rsidRDefault="001A3236" w:rsidP="000C4097">
      <w:pPr>
        <w:pStyle w:val="BodyText"/>
        <w:ind w:left="720"/>
      </w:pPr>
      <w:r>
        <w:rPr>
          <w:b/>
          <w:bCs/>
        </w:rPr>
        <w:t xml:space="preserve">Climate change has created a new wildfire reality for California. </w:t>
      </w:r>
      <w:r>
        <w:t>The state</w:t>
      </w:r>
      <w:r w:rsidR="000868F0">
        <w:t>’</w:t>
      </w:r>
      <w:r>
        <w:t>s fire season is now almost year round. More than 25 million acres of California wildlands are classified as under very high or extreme fire threat. Approximately 25 percent of the state</w:t>
      </w:r>
      <w:r w:rsidR="000868F0">
        <w:t>’</w:t>
      </w:r>
      <w:r>
        <w:t>s population – 11 million people – lives in that high-risk area.</w:t>
      </w:r>
    </w:p>
    <w:p w14:paraId="5E648710" w14:textId="0E3DF078" w:rsidR="001A3236" w:rsidRPr="000C72E6" w:rsidRDefault="001A3236" w:rsidP="000C4097">
      <w:pPr>
        <w:pStyle w:val="BodyText"/>
      </w:pPr>
      <w:r w:rsidRPr="000C72E6">
        <w:t xml:space="preserve">The effects of climate change and decades of fire suppression have been manifested on the landscape. Wildfire risk levels have been exacerbated by the location of developed land uses and communities in the high hazard areas. In the last several decades, more than 75 percent of forested areas and other woody vegetation types burned less frequently than historic averages, resulting in the buildup of fire fuel (CAL FIRE 2017). Drought conditions, low </w:t>
      </w:r>
      <w:r w:rsidR="000C72E6" w:rsidRPr="000C72E6">
        <w:t>snowpack</w:t>
      </w:r>
      <w:r w:rsidRPr="000C72E6">
        <w:t xml:space="preserve"> accumulation, and extreme temperature highs have also been prevalent in the last decade and are expected to worsen as climate change continues to alter landscapes and local climates (NOAA 2018</w:t>
      </w:r>
      <w:r w:rsidR="00072161" w:rsidRPr="000C72E6">
        <w:t>,</w:t>
      </w:r>
      <w:r w:rsidRPr="000C72E6">
        <w:t xml:space="preserve"> IPCC 2018). Numerous communities are located </w:t>
      </w:r>
      <w:r w:rsidR="00A375D6" w:rsidRPr="000C72E6">
        <w:t xml:space="preserve">in the wildland-urban interface (WUI) </w:t>
      </w:r>
      <w:r w:rsidRPr="000C72E6">
        <w:t>within very high fire hazard severity zones (VHFHSZ</w:t>
      </w:r>
      <w:r w:rsidR="00C751AD">
        <w:t>s</w:t>
      </w:r>
      <w:r w:rsidRPr="000C72E6">
        <w:t>). A survey by media firm, McClatchy, overlaying the hazard zone maps onto 2010 census data, identified 75 towns and cities with populations over 1,000 that were entirely or almost entirely (at least 90 percent) within VHFHSZ</w:t>
      </w:r>
      <w:r w:rsidR="00C751AD">
        <w:t>s</w:t>
      </w:r>
      <w:r w:rsidRPr="000C72E6">
        <w:t xml:space="preserve"> (Reese 2019).</w:t>
      </w:r>
    </w:p>
    <w:p w14:paraId="6554F2D4" w14:textId="5D42227A" w:rsidR="001A3236" w:rsidRPr="001A3236" w:rsidRDefault="001A3236" w:rsidP="0014348A">
      <w:pPr>
        <w:pStyle w:val="BodyText"/>
      </w:pPr>
      <w:r w:rsidRPr="00C421C2">
        <w:t>These conditions</w:t>
      </w:r>
      <w:r w:rsidRPr="00812305">
        <w:t xml:space="preserve"> have resulted in the largest, most destructive, and deadliest wildfires on record in California history, all occurring in 2018</w:t>
      </w:r>
      <w:r w:rsidR="00F87679">
        <w:t xml:space="preserve"> and a growing total number of fires and acreage burned</w:t>
      </w:r>
      <w:r w:rsidRPr="00812305">
        <w:t>.</w:t>
      </w:r>
      <w:r>
        <w:t xml:space="preserve"> </w:t>
      </w:r>
      <w:r w:rsidR="00BA11F7">
        <w:t xml:space="preserve">Since 2010, the number of wildfires occurring annually has been increasing, as has the number of acres burned. Much of this increase in acreage, especially in 2017 and 2018, is the result of record-setting fires primarily driven by wind, such as the Thomas and Northern California wildfires (2017) and the Camp and the Mendocino Complex fires (2018). However, destructive fires primarily driven by wind are a small proportion of the thousands of fires that occur every year that do not reach catastrophic levels. </w:t>
      </w:r>
      <w:bookmarkStart w:id="13" w:name="_Hlk12012054"/>
      <w:r w:rsidR="00BA11F7">
        <w:t>Fires driven by topography and those that move more slowly through the landscape, as well as primarily wind-driven fires that have slowed, are those that might be further slowed or stopped entirely by a vegetation treatment implemented under the CalVTP.</w:t>
      </w:r>
      <w:bookmarkEnd w:id="13"/>
    </w:p>
    <w:p w14:paraId="5A47FA1E" w14:textId="7899D695" w:rsidR="001A3236" w:rsidRDefault="00A375D6" w:rsidP="0014348A">
      <w:pPr>
        <w:pStyle w:val="BodyText"/>
      </w:pPr>
      <w:r>
        <w:t>The proposed Cal</w:t>
      </w:r>
      <w:r w:rsidRPr="00676514">
        <w:t>VTP</w:t>
      </w:r>
      <w:r>
        <w:t xml:space="preserve"> directs implementation of vegetation treatments within </w:t>
      </w:r>
      <w:r w:rsidR="009D4B73">
        <w:t xml:space="preserve">the </w:t>
      </w:r>
      <w:r>
        <w:t xml:space="preserve">SRA </w:t>
      </w:r>
      <w:r w:rsidRPr="004E50D5">
        <w:t xml:space="preserve">to </w:t>
      </w:r>
      <w:r>
        <w:t>serve as one component of the state</w:t>
      </w:r>
      <w:r w:rsidR="000868F0">
        <w:t>’</w:t>
      </w:r>
      <w:r>
        <w:t>s range of actions to reduce the risk of</w:t>
      </w:r>
      <w:r w:rsidRPr="004E50D5">
        <w:t xml:space="preserve"> loss of lives and property, reduce fire suppression costs, and protect natural resources </w:t>
      </w:r>
      <w:r w:rsidR="001D3FA4" w:rsidRPr="00441FFC">
        <w:rPr>
          <w:u w:val="single"/>
        </w:rPr>
        <w:t>as well as</w:t>
      </w:r>
      <w:r w:rsidR="00B151D4" w:rsidRPr="00441FFC">
        <w:rPr>
          <w:u w:val="single"/>
        </w:rPr>
        <w:t xml:space="preserve"> other assets at risk</w:t>
      </w:r>
      <w:r w:rsidR="00B151D4">
        <w:t xml:space="preserve"> </w:t>
      </w:r>
      <w:r w:rsidRPr="004E50D5">
        <w:t>from wildfire</w:t>
      </w:r>
      <w:r>
        <w:t xml:space="preserve">. </w:t>
      </w:r>
      <w:r w:rsidR="00040702">
        <w:t>The Board acknowledges that v</w:t>
      </w:r>
      <w:r w:rsidR="001A3236">
        <w:t xml:space="preserve">egetation treatments, </w:t>
      </w:r>
      <w:r w:rsidR="001A3236">
        <w:lastRenderedPageBreak/>
        <w:t xml:space="preserve">alone, will not solve the wildfire crisis. </w:t>
      </w:r>
      <w:r w:rsidR="008E154E">
        <w:t xml:space="preserve">The state’s response to the wildfire crisis involves multi-faceted strategies. </w:t>
      </w:r>
      <w:r w:rsidR="00040702">
        <w:t>The Board also acknowledges that, g</w:t>
      </w:r>
      <w:r w:rsidR="001A3236">
        <w:t>iven the current</w:t>
      </w:r>
      <w:r>
        <w:t xml:space="preserve"> severity of </w:t>
      </w:r>
      <w:r w:rsidR="001A3236">
        <w:t>fire hazard</w:t>
      </w:r>
      <w:r>
        <w:t>s</w:t>
      </w:r>
      <w:r w:rsidR="001A3236">
        <w:t xml:space="preserve"> </w:t>
      </w:r>
      <w:r>
        <w:t xml:space="preserve">in the SRA, </w:t>
      </w:r>
      <w:r w:rsidR="001A3236" w:rsidRPr="00487FE1">
        <w:t xml:space="preserve">vegetation treatments may not be able to slow or halt </w:t>
      </w:r>
      <w:r>
        <w:t xml:space="preserve">extreme wind-driven </w:t>
      </w:r>
      <w:r w:rsidR="001A3236" w:rsidRPr="00487FE1">
        <w:t>fires</w:t>
      </w:r>
      <w:r>
        <w:t xml:space="preserve">. However, </w:t>
      </w:r>
      <w:r w:rsidR="001A3236" w:rsidRPr="00487FE1">
        <w:t>most fires that occur within the state are not highly wind driven and the proposed vegetation treatments can help slow and suppress them. Vegetation treatments can also play a valuable role in containing the more extreme fires, when weather conditions shift, wind subsides, and fire intensity decreases.</w:t>
      </w:r>
    </w:p>
    <w:p w14:paraId="5014B568" w14:textId="141D12BF" w:rsidR="00DE62D1" w:rsidRDefault="00DE62D1" w:rsidP="00DE62D1">
      <w:pPr>
        <w:pStyle w:val="Heading2"/>
      </w:pPr>
      <w:bookmarkStart w:id="14" w:name="_Toc480195408"/>
      <w:bookmarkStart w:id="15" w:name="_Toc485802922"/>
      <w:bookmarkStart w:id="16" w:name="_Toc514146163"/>
      <w:bookmarkStart w:id="17" w:name="_Toc24009442"/>
      <w:r>
        <w:t xml:space="preserve">Summary Description of the </w:t>
      </w:r>
      <w:bookmarkEnd w:id="14"/>
      <w:bookmarkEnd w:id="15"/>
      <w:bookmarkEnd w:id="16"/>
      <w:r w:rsidR="009806CF">
        <w:t>C</w:t>
      </w:r>
      <w:r w:rsidR="009806CF">
        <w:rPr>
          <w:caps w:val="0"/>
        </w:rPr>
        <w:t>al</w:t>
      </w:r>
      <w:r w:rsidR="009806CF">
        <w:t>VTP</w:t>
      </w:r>
      <w:bookmarkEnd w:id="17"/>
    </w:p>
    <w:p w14:paraId="297EB13D" w14:textId="016CFF65" w:rsidR="00E82FE3" w:rsidRDefault="00040702" w:rsidP="0014348A">
      <w:pPr>
        <w:pStyle w:val="BodyText"/>
      </w:pPr>
      <w:r w:rsidRPr="00041382">
        <w:t xml:space="preserve">The Board is mandated to regulate forestry activities </w:t>
      </w:r>
      <w:r>
        <w:t>within</w:t>
      </w:r>
      <w:r w:rsidRPr="00041382">
        <w:t xml:space="preserve"> the </w:t>
      </w:r>
      <w:r>
        <w:t>SRA</w:t>
      </w:r>
      <w:r w:rsidRPr="00041382">
        <w:t xml:space="preserve"> and develop policies and</w:t>
      </w:r>
      <w:r>
        <w:t xml:space="preserve"> </w:t>
      </w:r>
      <w:r w:rsidRPr="00041382">
        <w:t>regulations that contribute to fire prevention and recovery efforts (PRC Section</w:t>
      </w:r>
      <w:r>
        <w:t xml:space="preserve"> </w:t>
      </w:r>
      <w:r w:rsidRPr="00041382">
        <w:t>740). The Board</w:t>
      </w:r>
      <w:r w:rsidR="000868F0">
        <w:t>’</w:t>
      </w:r>
      <w:r w:rsidRPr="00041382">
        <w:t>s proposed discretionary action</w:t>
      </w:r>
      <w:r>
        <w:t xml:space="preserve"> needing CEQA compliance</w:t>
      </w:r>
      <w:r w:rsidRPr="00041382">
        <w:t xml:space="preserve"> is approval of the CalVTP.</w:t>
      </w:r>
      <w:r>
        <w:t xml:space="preserve"> </w:t>
      </w:r>
      <w:r w:rsidRPr="00041382">
        <w:t xml:space="preserve">After approval, implementation of the CalVTP </w:t>
      </w:r>
      <w:r>
        <w:t>would</w:t>
      </w:r>
      <w:r w:rsidRPr="00041382">
        <w:t xml:space="preserve"> </w:t>
      </w:r>
      <w:r>
        <w:t>consist of</w:t>
      </w:r>
      <w:r w:rsidRPr="00041382">
        <w:t xml:space="preserve"> vegetation treatment</w:t>
      </w:r>
      <w:r>
        <w:t xml:space="preserve"> </w:t>
      </w:r>
      <w:r w:rsidRPr="00041382">
        <w:t>activities carried out by CAL FIRE</w:t>
      </w:r>
      <w:r>
        <w:t xml:space="preserve"> on private or public land, by public agencies and organizations funded by </w:t>
      </w:r>
      <w:r w:rsidRPr="00DE7C91">
        <w:rPr>
          <w:strike/>
        </w:rPr>
        <w:t xml:space="preserve">CAL FIRE </w:t>
      </w:r>
      <w:r>
        <w:t>grants</w:t>
      </w:r>
      <w:r w:rsidR="007117FC" w:rsidRPr="00DE7C91">
        <w:rPr>
          <w:u w:val="single"/>
        </w:rPr>
        <w:t xml:space="preserve"> from CAL FIRE or other state </w:t>
      </w:r>
      <w:r w:rsidR="00E82FE3" w:rsidRPr="00DE7C91">
        <w:rPr>
          <w:u w:val="single"/>
        </w:rPr>
        <w:t xml:space="preserve">or local </w:t>
      </w:r>
      <w:r w:rsidR="007117FC" w:rsidRPr="00DE7C91">
        <w:rPr>
          <w:u w:val="single"/>
        </w:rPr>
        <w:t>agencies</w:t>
      </w:r>
      <w:r>
        <w:t>, or potentially by public agencies that own</w:t>
      </w:r>
      <w:r w:rsidR="00F87679">
        <w:t xml:space="preserve"> and/or manage</w:t>
      </w:r>
      <w:r>
        <w:t xml:space="preserve"> land within the treatable landscape. </w:t>
      </w:r>
    </w:p>
    <w:p w14:paraId="02D2757E" w14:textId="77777777" w:rsidR="00040702" w:rsidRPr="0004386C" w:rsidRDefault="00040702" w:rsidP="00DA6D0B">
      <w:pPr>
        <w:pStyle w:val="BodyText"/>
      </w:pPr>
      <w:r w:rsidRPr="00041382">
        <w:t>Th</w:t>
      </w:r>
      <w:r>
        <w:t>is</w:t>
      </w:r>
      <w:r w:rsidRPr="00041382">
        <w:t xml:space="preserve"> CalVTP PEIR</w:t>
      </w:r>
      <w:r>
        <w:t xml:space="preserve"> </w:t>
      </w:r>
      <w:r w:rsidRPr="00041382">
        <w:t>address</w:t>
      </w:r>
      <w:r>
        <w:t>es</w:t>
      </w:r>
      <w:r w:rsidRPr="00041382">
        <w:t xml:space="preserve"> the following:</w:t>
      </w:r>
    </w:p>
    <w:p w14:paraId="5EF21EDD" w14:textId="4D318BE5" w:rsidR="00040702" w:rsidRPr="00183DE0" w:rsidRDefault="00040702" w:rsidP="00DA6D0B">
      <w:pPr>
        <w:pStyle w:val="Bullet1"/>
        <w:rPr>
          <w:spacing w:val="-4"/>
        </w:rPr>
      </w:pPr>
      <w:r w:rsidRPr="00183DE0">
        <w:rPr>
          <w:spacing w:val="-4"/>
        </w:rPr>
        <w:t>Expansion of CAL FIRE</w:t>
      </w:r>
      <w:r w:rsidR="000868F0" w:rsidRPr="00183DE0">
        <w:rPr>
          <w:spacing w:val="-4"/>
        </w:rPr>
        <w:t>’</w:t>
      </w:r>
      <w:r w:rsidRPr="00183DE0">
        <w:rPr>
          <w:spacing w:val="-4"/>
        </w:rPr>
        <w:t xml:space="preserve">s vegetation treatment activities to reach a total treatment acreage target of approximately 250,000 acres per year to contribute to the achievement of the 500,000 annual </w:t>
      </w:r>
      <w:r w:rsidR="008E154E" w:rsidRPr="00183DE0">
        <w:rPr>
          <w:spacing w:val="-4"/>
        </w:rPr>
        <w:t xml:space="preserve">acres of treatment on </w:t>
      </w:r>
      <w:r w:rsidRPr="00183DE0">
        <w:rPr>
          <w:spacing w:val="-4"/>
        </w:rPr>
        <w:t xml:space="preserve">non-federal </w:t>
      </w:r>
      <w:r w:rsidR="008E154E" w:rsidRPr="00183DE0">
        <w:rPr>
          <w:spacing w:val="-4"/>
        </w:rPr>
        <w:t xml:space="preserve">lands </w:t>
      </w:r>
      <w:r w:rsidRPr="00183DE0">
        <w:rPr>
          <w:spacing w:val="-4"/>
        </w:rPr>
        <w:t>expressed in E</w:t>
      </w:r>
      <w:r w:rsidR="001C3E5F" w:rsidRPr="00183DE0">
        <w:rPr>
          <w:spacing w:val="-4"/>
        </w:rPr>
        <w:t xml:space="preserve">xecutive </w:t>
      </w:r>
      <w:r w:rsidRPr="00183DE0">
        <w:rPr>
          <w:spacing w:val="-4"/>
        </w:rPr>
        <w:t>O</w:t>
      </w:r>
      <w:r w:rsidR="001C3E5F" w:rsidRPr="00183DE0">
        <w:rPr>
          <w:spacing w:val="-4"/>
        </w:rPr>
        <w:t>rder</w:t>
      </w:r>
      <w:r w:rsidRPr="00183DE0">
        <w:rPr>
          <w:spacing w:val="-4"/>
        </w:rPr>
        <w:t xml:space="preserve"> </w:t>
      </w:r>
      <w:r w:rsidR="00280207" w:rsidRPr="00183DE0">
        <w:rPr>
          <w:spacing w:val="-4"/>
        </w:rPr>
        <w:t xml:space="preserve">(EO) </w:t>
      </w:r>
      <w:r w:rsidRPr="00183DE0">
        <w:rPr>
          <w:spacing w:val="-4"/>
        </w:rPr>
        <w:t xml:space="preserve">B-52-18, signed by </w:t>
      </w:r>
      <w:r w:rsidR="001C3E5F" w:rsidRPr="00183DE0">
        <w:rPr>
          <w:spacing w:val="-4"/>
        </w:rPr>
        <w:t xml:space="preserve">former </w:t>
      </w:r>
      <w:r w:rsidRPr="00183DE0">
        <w:rPr>
          <w:spacing w:val="-4"/>
        </w:rPr>
        <w:t xml:space="preserve">Governor Jerry Brown in May 2018. The expanded target would be a substantial increase compared both to current activity </w:t>
      </w:r>
      <w:r w:rsidR="008E154E" w:rsidRPr="00183DE0">
        <w:rPr>
          <w:spacing w:val="-4"/>
        </w:rPr>
        <w:t xml:space="preserve">(recently averaging approximately 33,000 acres per year) </w:t>
      </w:r>
      <w:r w:rsidRPr="00183DE0">
        <w:rPr>
          <w:spacing w:val="-4"/>
        </w:rPr>
        <w:t>and to the level proposed in the 2017 VTP Draft PEIR (i.e., 60,000 acres per year).</w:t>
      </w:r>
    </w:p>
    <w:p w14:paraId="3A64E0E9" w14:textId="6F3E6265" w:rsidR="00040702" w:rsidRPr="00040702" w:rsidRDefault="00040702" w:rsidP="00DA6D0B">
      <w:pPr>
        <w:pStyle w:val="Bullet1"/>
      </w:pPr>
      <w:r w:rsidRPr="00DA6D0B">
        <w:t xml:space="preserve">A project-specific implementation approach for streamlining CEQA review of later site-specific, vegetation treatment </w:t>
      </w:r>
      <w:r w:rsidR="009305D0" w:rsidRPr="00DA6D0B">
        <w:t>projects</w:t>
      </w:r>
      <w:r w:rsidRPr="00DA6D0B">
        <w:t xml:space="preserve"> consistent with the CalVTP and th</w:t>
      </w:r>
      <w:r w:rsidR="004C333F">
        <w:t>is</w:t>
      </w:r>
      <w:r w:rsidRPr="00DA6D0B">
        <w:t xml:space="preserve"> PEIR, in accordance with procedures described in </w:t>
      </w:r>
      <w:r w:rsidR="00C751AD">
        <w:t xml:space="preserve">State </w:t>
      </w:r>
      <w:r w:rsidRPr="00DA6D0B">
        <w:t>CEQA Guidelines Section 15168. The streamlined CEQA review approach would document how a project</w:t>
      </w:r>
      <w:r w:rsidR="000868F0" w:rsidRPr="00DA6D0B">
        <w:t>’</w:t>
      </w:r>
      <w:r w:rsidRPr="00DA6D0B">
        <w:t>s environmental effects</w:t>
      </w:r>
      <w:r w:rsidRPr="00901915">
        <w:t xml:space="preserve"> are covered and which feasible mitigation measures from the CalVTP PEIR are incorporated. This </w:t>
      </w:r>
      <w:r>
        <w:t>would</w:t>
      </w:r>
      <w:r w:rsidRPr="00901915">
        <w:t xml:space="preserve"> include evaluation of whether later activities and impacts of site-specific vegetation treatment projects are within the scope of the CalVTP and the PEIR. A </w:t>
      </w:r>
      <w:r w:rsidR="000868F0">
        <w:t>“</w:t>
      </w:r>
      <w:r w:rsidRPr="00901915">
        <w:t>within the scope</w:t>
      </w:r>
      <w:r w:rsidR="000868F0">
        <w:t>”</w:t>
      </w:r>
      <w:r w:rsidRPr="00901915">
        <w:t xml:space="preserve"> finding for later activities would facilitate an increase in the pace and scale of project approvals in a manner that includes environmental protections</w:t>
      </w:r>
      <w:r>
        <w:t xml:space="preserve"> in compliance with CEQA</w:t>
      </w:r>
      <w:r w:rsidRPr="00901915">
        <w:t xml:space="preserve">. Where </w:t>
      </w:r>
      <w:bookmarkStart w:id="18" w:name="_Hlk8219525"/>
      <w:r w:rsidRPr="00901915">
        <w:t xml:space="preserve">later </w:t>
      </w:r>
      <w:r w:rsidR="009305D0">
        <w:t>vegetation treatment projects</w:t>
      </w:r>
      <w:r w:rsidRPr="00901915">
        <w:t xml:space="preserve"> </w:t>
      </w:r>
      <w:bookmarkEnd w:id="18"/>
      <w:r w:rsidRPr="00901915">
        <w:t xml:space="preserve">do not qualify for a </w:t>
      </w:r>
      <w:r w:rsidR="000868F0">
        <w:t>“</w:t>
      </w:r>
      <w:r w:rsidRPr="00901915">
        <w:t>within the scope</w:t>
      </w:r>
      <w:r w:rsidR="000868F0">
        <w:t>”</w:t>
      </w:r>
      <w:r w:rsidRPr="00901915">
        <w:t xml:space="preserve"> finding, </w:t>
      </w:r>
      <w:r w:rsidR="009E623D">
        <w:t xml:space="preserve">additional CEQA documentation </w:t>
      </w:r>
      <w:r>
        <w:t>would</w:t>
      </w:r>
      <w:r w:rsidRPr="00901915">
        <w:t xml:space="preserve"> be prepared.</w:t>
      </w:r>
    </w:p>
    <w:p w14:paraId="186EEC23" w14:textId="0480CF68" w:rsidR="0061282F" w:rsidRPr="00564B43" w:rsidRDefault="009806CF" w:rsidP="0061282F">
      <w:pPr>
        <w:pStyle w:val="Heading3"/>
      </w:pPr>
      <w:bookmarkStart w:id="19" w:name="_Toc480195411"/>
      <w:bookmarkStart w:id="20" w:name="_Toc322726825"/>
      <w:bookmarkEnd w:id="11"/>
      <w:bookmarkEnd w:id="12"/>
      <w:r>
        <w:t>Program</w:t>
      </w:r>
      <w:r w:rsidR="0061282F" w:rsidRPr="00564B43">
        <w:t xml:space="preserve"> Objectives</w:t>
      </w:r>
      <w:bookmarkEnd w:id="19"/>
    </w:p>
    <w:p w14:paraId="553B6685" w14:textId="77777777" w:rsidR="009806CF" w:rsidRDefault="009806CF" w:rsidP="00DB51C7">
      <w:pPr>
        <w:pStyle w:val="BodyText"/>
        <w:rPr>
          <w:noProof/>
        </w:rPr>
      </w:pPr>
      <w:bookmarkStart w:id="21" w:name="_Toc480195413"/>
      <w:r w:rsidRPr="0004386C">
        <w:t>The statement of objectives below describes the underlying purposes of the CalVTP and expresses the role of vegetation treatment in implementing state policies and plans for wildfire risk reduction, greenhouse gas (GHG) reduction, and management of natural and working lands. The objectives of the CalVTP are to:</w:t>
      </w:r>
    </w:p>
    <w:p w14:paraId="62D8D64E" w14:textId="6C96CB30" w:rsidR="009806CF" w:rsidRPr="00E16B66" w:rsidRDefault="009806CF" w:rsidP="00DB51C7">
      <w:pPr>
        <w:pStyle w:val="BodyText"/>
        <w:ind w:left="360" w:hanging="360"/>
      </w:pPr>
      <w:r>
        <w:t>1.</w:t>
      </w:r>
      <w:r>
        <w:tab/>
        <w:t>serve as the vegetation management component of the state</w:t>
      </w:r>
      <w:r w:rsidR="000868F0">
        <w:t>’</w:t>
      </w:r>
      <w:r>
        <w:t>s range of actions underway to r</w:t>
      </w:r>
      <w:r w:rsidRPr="00E16B66">
        <w:t xml:space="preserve">educe risks to life, property, and natural resources by managing the amount and continuity of </w:t>
      </w:r>
      <w:r>
        <w:t>hazardous vegetative fuels that promote wildland fire</w:t>
      </w:r>
      <w:r w:rsidRPr="00E16B66">
        <w:t xml:space="preserve"> consistent with </w:t>
      </w:r>
      <w:r w:rsidRPr="00757AF0">
        <w:rPr>
          <w:i/>
        </w:rPr>
        <w:t>California</w:t>
      </w:r>
      <w:r w:rsidR="000868F0">
        <w:rPr>
          <w:i/>
        </w:rPr>
        <w:t>’</w:t>
      </w:r>
      <w:r w:rsidRPr="00757AF0">
        <w:rPr>
          <w:i/>
        </w:rPr>
        <w:t>s 2018 Strategic Fire Plan</w:t>
      </w:r>
      <w:r>
        <w:t xml:space="preserve"> (Board and CAL FIRE 2018)</w:t>
      </w:r>
      <w:r w:rsidRPr="00E16B66">
        <w:t>;</w:t>
      </w:r>
    </w:p>
    <w:p w14:paraId="33A24DF2" w14:textId="373F09BB" w:rsidR="009806CF" w:rsidRDefault="009806CF" w:rsidP="00DB51C7">
      <w:pPr>
        <w:pStyle w:val="BodyText"/>
        <w:ind w:left="360" w:hanging="360"/>
      </w:pPr>
      <w:r>
        <w:t>2.</w:t>
      </w:r>
      <w:r>
        <w:tab/>
        <w:t>s</w:t>
      </w:r>
      <w:r w:rsidRPr="00E16B66">
        <w:t>ubstantially increase the pace and scale of vegetation treatments to contribute to achieving a statewide total of at least 500,000 acres per year</w:t>
      </w:r>
      <w:r>
        <w:t xml:space="preserve"> on non-federal lands</w:t>
      </w:r>
      <w:r w:rsidRPr="00E16B66">
        <w:t xml:space="preserve">, </w:t>
      </w:r>
      <w:r>
        <w:t>consistent with</w:t>
      </w:r>
      <w:r w:rsidRPr="00E16B66">
        <w:t xml:space="preserve"> </w:t>
      </w:r>
      <w:r>
        <w:t xml:space="preserve">the </w:t>
      </w:r>
      <w:r w:rsidR="00280207">
        <w:t xml:space="preserve">former </w:t>
      </w:r>
      <w:r>
        <w:t>Governor</w:t>
      </w:r>
      <w:r w:rsidR="000868F0">
        <w:t>’</w:t>
      </w:r>
      <w:r>
        <w:t xml:space="preserve">s </w:t>
      </w:r>
      <w:r w:rsidR="00280207">
        <w:t>EO</w:t>
      </w:r>
      <w:r w:rsidRPr="00E16B66">
        <w:t xml:space="preserve"> B-52-18</w:t>
      </w:r>
      <w:r>
        <w:t xml:space="preserve">, which results in a </w:t>
      </w:r>
      <w:r w:rsidR="008E154E">
        <w:t xml:space="preserve">CalVTP </w:t>
      </w:r>
      <w:r>
        <w:t>target up to 250,000 acres per year after considering other types and areas of vegetation treatments</w:t>
      </w:r>
      <w:r w:rsidRPr="00E16B66">
        <w:t>;</w:t>
      </w:r>
    </w:p>
    <w:p w14:paraId="74950E0F" w14:textId="339A7573" w:rsidR="009806CF" w:rsidRPr="0099085C" w:rsidRDefault="009806CF" w:rsidP="00DB51C7">
      <w:pPr>
        <w:pStyle w:val="BodyText"/>
        <w:ind w:left="360" w:hanging="360"/>
      </w:pPr>
      <w:r>
        <w:t>3.</w:t>
      </w:r>
      <w:r>
        <w:tab/>
        <w:t xml:space="preserve">increase the use of prescribed burning as a vegetation treatment tool, consistent with the provisions of Senate Bill 1260, Statutes of </w:t>
      </w:r>
      <w:r w:rsidRPr="0099085C">
        <w:t>2018</w:t>
      </w:r>
      <w:r>
        <w:t>,</w:t>
      </w:r>
      <w:r w:rsidRPr="0099085C">
        <w:t xml:space="preserve"> and </w:t>
      </w:r>
      <w:r w:rsidRPr="00AD1F50">
        <w:t>PRC</w:t>
      </w:r>
      <w:r w:rsidRPr="0099085C">
        <w:t xml:space="preserve"> Section 4483(a);</w:t>
      </w:r>
    </w:p>
    <w:p w14:paraId="15494ACA" w14:textId="376BC7CE" w:rsidR="009806CF" w:rsidRPr="00742E64" w:rsidRDefault="009806CF" w:rsidP="00DB51C7">
      <w:pPr>
        <w:pStyle w:val="BodyText12ptbefore"/>
        <w:spacing w:before="0"/>
        <w:ind w:left="360" w:hanging="360"/>
      </w:pPr>
      <w:bookmarkStart w:id="22" w:name="_Hlk534188474"/>
      <w:r>
        <w:t>4.</w:t>
      </w:r>
      <w:r>
        <w:tab/>
        <w:t>c</w:t>
      </w:r>
      <w:r w:rsidRPr="00E16B66">
        <w:t xml:space="preserve">ontribute to </w:t>
      </w:r>
      <w:r>
        <w:t xml:space="preserve">meeting </w:t>
      </w:r>
      <w:r w:rsidRPr="00E16B66">
        <w:t>California</w:t>
      </w:r>
      <w:r w:rsidR="000868F0">
        <w:t>’</w:t>
      </w:r>
      <w:r w:rsidRPr="00E16B66">
        <w:t xml:space="preserve">s </w:t>
      </w:r>
      <w:r>
        <w:t>GHG</w:t>
      </w:r>
      <w:r w:rsidRPr="00E16B66">
        <w:t xml:space="preserve"> emission goals by managing forests </w:t>
      </w:r>
      <w:r w:rsidRPr="00742E64">
        <w:t xml:space="preserve">and </w:t>
      </w:r>
      <w:r>
        <w:t>other natural and working lands</w:t>
      </w:r>
      <w:r w:rsidRPr="00742E64">
        <w:t xml:space="preserve"> as a net carbon sink</w:t>
      </w:r>
      <w:r>
        <w:t>,</w:t>
      </w:r>
      <w:r w:rsidRPr="00742E64">
        <w:t xml:space="preserve"> consistent with the </w:t>
      </w:r>
      <w:r w:rsidRPr="0028724B">
        <w:rPr>
          <w:i/>
        </w:rPr>
        <w:t>California Forest Carbon Plan</w:t>
      </w:r>
      <w:r>
        <w:t xml:space="preserve"> (</w:t>
      </w:r>
      <w:r w:rsidRPr="009101DF">
        <w:t>Forest Climate Action Team</w:t>
      </w:r>
      <w:r>
        <w:t xml:space="preserve"> 2018), </w:t>
      </w:r>
      <w:r w:rsidRPr="0028724B">
        <w:rPr>
          <w:i/>
        </w:rPr>
        <w:lastRenderedPageBreak/>
        <w:t>California</w:t>
      </w:r>
      <w:r w:rsidR="000868F0">
        <w:rPr>
          <w:i/>
        </w:rPr>
        <w:t>’</w:t>
      </w:r>
      <w:r w:rsidRPr="0028724B">
        <w:rPr>
          <w:i/>
        </w:rPr>
        <w:t>s 2017 Climate Change Scoping Plan</w:t>
      </w:r>
      <w:r>
        <w:t xml:space="preserve"> (</w:t>
      </w:r>
      <w:r w:rsidR="00242575">
        <w:t>C</w:t>
      </w:r>
      <w:r>
        <w:t xml:space="preserve">ARB 2017), </w:t>
      </w:r>
      <w:r w:rsidRPr="000952AB">
        <w:rPr>
          <w:i/>
        </w:rPr>
        <w:t>Fire on the Mountain: Rethinking Forest Management in the Sierra Nevada</w:t>
      </w:r>
      <w:r>
        <w:t xml:space="preserve"> (Little Hoover Commission 2018), and </w:t>
      </w:r>
      <w:r w:rsidRPr="0028724B">
        <w:rPr>
          <w:i/>
        </w:rPr>
        <w:t>California 2030 Natural and Working Lands Climate Change Implementation Plan</w:t>
      </w:r>
      <w:r>
        <w:t xml:space="preserve"> (CalEPA et al. 2019)</w:t>
      </w:r>
      <w:r w:rsidRPr="00742E64">
        <w:t>;</w:t>
      </w:r>
      <w:bookmarkEnd w:id="22"/>
      <w:r w:rsidRPr="00742E64">
        <w:t xml:space="preserve"> and</w:t>
      </w:r>
    </w:p>
    <w:p w14:paraId="37C6EC3E" w14:textId="77777777" w:rsidR="009806CF" w:rsidRPr="008570F3" w:rsidRDefault="009806CF" w:rsidP="00DB51C7">
      <w:pPr>
        <w:pStyle w:val="BodyText"/>
        <w:ind w:left="360" w:hanging="360"/>
      </w:pPr>
      <w:r>
        <w:t>5.</w:t>
      </w:r>
      <w:r>
        <w:tab/>
        <w:t>i</w:t>
      </w:r>
      <w:r w:rsidRPr="00E16B66">
        <w:t xml:space="preserve">mprove ecosystem health </w:t>
      </w:r>
      <w:r>
        <w:t xml:space="preserve">in fire-adapted habitats </w:t>
      </w:r>
      <w:r w:rsidRPr="00E16B66">
        <w:t>by safely mimicking the effects of a natural fire regime, considering historic fire return intervals, climate change, and land use constraints</w:t>
      </w:r>
      <w:r>
        <w:t>.</w:t>
      </w:r>
    </w:p>
    <w:bookmarkEnd w:id="21"/>
    <w:p w14:paraId="21B1086E" w14:textId="22FB0619" w:rsidR="004224E2" w:rsidRDefault="004224E2" w:rsidP="0061282F">
      <w:pPr>
        <w:pStyle w:val="Heading3"/>
      </w:pPr>
      <w:r>
        <w:t>Treatable Landscape</w:t>
      </w:r>
    </w:p>
    <w:p w14:paraId="6657D966" w14:textId="66F6D1B5" w:rsidR="004224E2" w:rsidRPr="007257FA" w:rsidRDefault="004224E2" w:rsidP="00242575">
      <w:pPr>
        <w:pStyle w:val="BodyText"/>
      </w:pPr>
      <w:r>
        <w:t xml:space="preserve">Appropriate areas within which to implement </w:t>
      </w:r>
      <w:r w:rsidR="009D3FDD">
        <w:t xml:space="preserve">proposed </w:t>
      </w:r>
      <w:r>
        <w:t xml:space="preserve">vegetation treatments were identified by first dividing the SRA into vegetation types from the </w:t>
      </w:r>
      <w:bookmarkStart w:id="23" w:name="_Hlk8299289"/>
      <w:r w:rsidRPr="009E37A5">
        <w:t>California Wildlife Habitat Relation</w:t>
      </w:r>
      <w:r>
        <w:t>ship</w:t>
      </w:r>
      <w:r w:rsidRPr="009E37A5">
        <w:t xml:space="preserve"> (</w:t>
      </w:r>
      <w:r>
        <w:t>C</w:t>
      </w:r>
      <w:r w:rsidRPr="009E37A5">
        <w:t>WHR</w:t>
      </w:r>
      <w:bookmarkEnd w:id="23"/>
      <w:r w:rsidRPr="009E37A5">
        <w:t>)</w:t>
      </w:r>
      <w:r>
        <w:t xml:space="preserve"> system</w:t>
      </w:r>
      <w:r w:rsidR="00E01917">
        <w:t xml:space="preserve"> a</w:t>
      </w:r>
      <w:r>
        <w:t>nd excluding those v</w:t>
      </w:r>
      <w:r>
        <w:rPr>
          <w:color w:val="000000"/>
        </w:rPr>
        <w:t>egetation</w:t>
      </w:r>
      <w:r w:rsidRPr="005E376E">
        <w:rPr>
          <w:color w:val="000000"/>
        </w:rPr>
        <w:t xml:space="preserve"> types </w:t>
      </w:r>
      <w:r>
        <w:rPr>
          <w:color w:val="000000"/>
        </w:rPr>
        <w:t>with negligible wildfire risks (e.g., wet meadow, estuarine). A</w:t>
      </w:r>
      <w:r>
        <w:t>gricultural CWHR vegetation types were also excluded because agricultural land is generally outside the SRA.</w:t>
      </w:r>
    </w:p>
    <w:p w14:paraId="20A7F467" w14:textId="5C7F4222" w:rsidR="004224E2" w:rsidRPr="004224E2" w:rsidRDefault="004224E2" w:rsidP="00242575">
      <w:pPr>
        <w:pStyle w:val="BodyText"/>
      </w:pPr>
      <w:r>
        <w:t xml:space="preserve">Using this method, 20.3 million acres within the 31 million-acre SRA were identified that may be appropriate for vegetation treatments as part of the CalVTP; this area is called the </w:t>
      </w:r>
      <w:r w:rsidR="000868F0">
        <w:t>“</w:t>
      </w:r>
      <w:r>
        <w:t>treatable landscape</w:t>
      </w:r>
      <w:r w:rsidR="000868F0">
        <w:t>”</w:t>
      </w:r>
      <w:r>
        <w:t xml:space="preserve"> in this PEIR. The proposed target of 250,000 annual acres of treatment would occur within the </w:t>
      </w:r>
      <w:r w:rsidRPr="007257FA">
        <w:t xml:space="preserve">20.3 million acres </w:t>
      </w:r>
      <w:r>
        <w:t>of treatable landscape.</w:t>
      </w:r>
    </w:p>
    <w:p w14:paraId="438D4BD1" w14:textId="15D82FDE" w:rsidR="0061282F" w:rsidRDefault="004224E2" w:rsidP="0061282F">
      <w:pPr>
        <w:pStyle w:val="Heading3"/>
      </w:pPr>
      <w:r>
        <w:t>Proposed Vegetation Treatments</w:t>
      </w:r>
    </w:p>
    <w:p w14:paraId="3CF19847" w14:textId="5FB32B1A" w:rsidR="00040702" w:rsidRDefault="00040702" w:rsidP="00242575">
      <w:pPr>
        <w:pStyle w:val="BodyText"/>
      </w:pPr>
      <w:r>
        <w:t xml:space="preserve">Vegetation treatment </w:t>
      </w:r>
      <w:r w:rsidRPr="0090087B">
        <w:t>at the landscape scale is focused on reduc</w:t>
      </w:r>
      <w:r>
        <w:t>ing</w:t>
      </w:r>
      <w:r w:rsidRPr="0090087B">
        <w:t xml:space="preserve"> </w:t>
      </w:r>
      <w:r>
        <w:t>the likelihood of a ground fire increasing in intensity and helping</w:t>
      </w:r>
      <w:r w:rsidRPr="0090087B">
        <w:t xml:space="preserve"> </w:t>
      </w:r>
      <w:r w:rsidR="00A069CE">
        <w:t>fire responders</w:t>
      </w:r>
      <w:r w:rsidRPr="0090087B">
        <w:t xml:space="preserve"> more easily contain </w:t>
      </w:r>
      <w:r>
        <w:t xml:space="preserve">a </w:t>
      </w:r>
      <w:r w:rsidRPr="0090087B">
        <w:t xml:space="preserve">fire. This is accomplished by modifying fire behavior through strategic </w:t>
      </w:r>
      <w:r>
        <w:t>removal or modification</w:t>
      </w:r>
      <w:r w:rsidRPr="0090087B">
        <w:t xml:space="preserve"> of </w:t>
      </w:r>
      <w:r>
        <w:t>vegetation</w:t>
      </w:r>
      <w:r w:rsidRPr="0090087B">
        <w:t xml:space="preserve"> (</w:t>
      </w:r>
      <w:r w:rsidRPr="003711BF">
        <w:t xml:space="preserve">Finney and Cohen 2003; Graham et al. 2004). </w:t>
      </w:r>
      <w:r>
        <w:t xml:space="preserve">By implementing the proposed </w:t>
      </w:r>
      <w:r w:rsidRPr="003711BF">
        <w:t xml:space="preserve">treatment types, </w:t>
      </w:r>
      <w:r>
        <w:t>the CalVTP</w:t>
      </w:r>
      <w:r w:rsidRPr="003711BF">
        <w:t xml:space="preserve"> w</w:t>
      </w:r>
      <w:r>
        <w:t>ould</w:t>
      </w:r>
      <w:r w:rsidRPr="003711BF">
        <w:t xml:space="preserve"> </w:t>
      </w:r>
      <w:r>
        <w:t xml:space="preserve">strategically modify portions of the landscape to reduce losses from and improve resiliency to wildfire. The </w:t>
      </w:r>
      <w:r w:rsidR="00C751AD">
        <w:t xml:space="preserve">following </w:t>
      </w:r>
      <w:r>
        <w:t>treatment types are</w:t>
      </w:r>
      <w:r w:rsidR="00C751AD">
        <w:t xml:space="preserve"> proposed</w:t>
      </w:r>
      <w:r>
        <w:t>:</w:t>
      </w:r>
    </w:p>
    <w:p w14:paraId="31CCB833" w14:textId="77777777" w:rsidR="00040702" w:rsidRPr="0090087B" w:rsidRDefault="00040702" w:rsidP="00040702">
      <w:pPr>
        <w:pStyle w:val="Bullet1"/>
      </w:pPr>
      <w:r w:rsidRPr="000B50AB">
        <w:rPr>
          <w:b/>
        </w:rPr>
        <w:t>Wildland-Urban Interface</w:t>
      </w:r>
      <w:r>
        <w:rPr>
          <w:b/>
        </w:rPr>
        <w:t xml:space="preserve"> Fuel Reduction</w:t>
      </w:r>
      <w:r w:rsidRPr="000B50AB">
        <w:rPr>
          <w:b/>
        </w:rPr>
        <w:t>:</w:t>
      </w:r>
      <w:r>
        <w:t xml:space="preserve"> Located in WUI-designated areas, fuel reduction would generally consist of strategic removal of vegetation to prevent or slow the spread of non-wind driven wildfire between structures and wildlands, and vice versa. </w:t>
      </w:r>
    </w:p>
    <w:p w14:paraId="15C340F1" w14:textId="77777777" w:rsidR="00040702" w:rsidRPr="0090087B" w:rsidRDefault="00040702" w:rsidP="00040702">
      <w:pPr>
        <w:pStyle w:val="Bullet1"/>
      </w:pPr>
      <w:r w:rsidRPr="000B50AB">
        <w:rPr>
          <w:b/>
        </w:rPr>
        <w:t>Fuel Breaks:</w:t>
      </w:r>
      <w:r>
        <w:t xml:space="preserve"> In strategic locations, fuel breaks create zones of vegetation removal and ongoing maintenance, often in a linear layout, that support fire suppression by providing responders with a staging area or access to a remote landscape for fire control actions. While fuel breaks can passively interrupt the path of a fire or halt or slow its progress, this is not the primary goal of constructing fuel breaks. </w:t>
      </w:r>
    </w:p>
    <w:p w14:paraId="7E9F0ACE" w14:textId="77777777" w:rsidR="00040702" w:rsidRDefault="00040702" w:rsidP="00040702">
      <w:pPr>
        <w:pStyle w:val="Bullet1"/>
      </w:pPr>
      <w:r w:rsidRPr="00ED0EAE">
        <w:rPr>
          <w:b/>
        </w:rPr>
        <w:t xml:space="preserve">Ecological Restoration: </w:t>
      </w:r>
      <w:proofErr w:type="gramStart"/>
      <w:r w:rsidRPr="00C873AA">
        <w:t>G</w:t>
      </w:r>
      <w:r>
        <w:t>enerally</w:t>
      </w:r>
      <w:proofErr w:type="gramEnd"/>
      <w:r>
        <w:t xml:space="preserve"> </w:t>
      </w:r>
      <w:r w:rsidRPr="0090087B">
        <w:t>outside of the WUI in areas that have departed from the natural fire regime</w:t>
      </w:r>
      <w:r>
        <w:t xml:space="preserve"> </w:t>
      </w:r>
      <w:r>
        <w:rPr>
          <w:color w:val="2A2A2A"/>
          <w:w w:val="105"/>
          <w:szCs w:val="20"/>
        </w:rPr>
        <w:t>as a result of fire exclusion, ecological restoration</w:t>
      </w:r>
      <w:r>
        <w:t xml:space="preserve"> would </w:t>
      </w:r>
      <w:r>
        <w:rPr>
          <w:color w:val="2A2A2A"/>
          <w:w w:val="105"/>
          <w:szCs w:val="20"/>
        </w:rPr>
        <w:t>focus on restoring ecosystem processes, conditions, and resiliency by moderating uncharacteristic wildland fuel conditions to reflect historic vegetative composition, structure, and habitat values</w:t>
      </w:r>
      <w:r>
        <w:t>.</w:t>
      </w:r>
    </w:p>
    <w:p w14:paraId="46AFC185" w14:textId="703FE21F" w:rsidR="00040702" w:rsidRDefault="00040702" w:rsidP="00040702">
      <w:pPr>
        <w:pStyle w:val="BodyText"/>
      </w:pPr>
      <w:r w:rsidRPr="00F56DE1">
        <w:t>The WUI</w:t>
      </w:r>
      <w:r>
        <w:t xml:space="preserve"> fuel reduction</w:t>
      </w:r>
      <w:r w:rsidRPr="00F56DE1">
        <w:t xml:space="preserve">, </w:t>
      </w:r>
      <w:r>
        <w:t>f</w:t>
      </w:r>
      <w:r w:rsidRPr="00F56DE1">
        <w:t xml:space="preserve">uel </w:t>
      </w:r>
      <w:r>
        <w:t>b</w:t>
      </w:r>
      <w:r w:rsidRPr="00F56DE1">
        <w:t xml:space="preserve">reak, and </w:t>
      </w:r>
      <w:r>
        <w:t>ecological restoration treatment types</w:t>
      </w:r>
      <w:r w:rsidRPr="00F56DE1">
        <w:t xml:space="preserve"> </w:t>
      </w:r>
      <w:r>
        <w:t xml:space="preserve">would be implemented using </w:t>
      </w:r>
      <w:r w:rsidRPr="00F56DE1">
        <w:t xml:space="preserve">various treatment </w:t>
      </w:r>
      <w:r w:rsidR="000868F0">
        <w:t>“</w:t>
      </w:r>
      <w:r>
        <w:t>activities</w:t>
      </w:r>
      <w:r w:rsidR="000868F0">
        <w:t>”</w:t>
      </w:r>
      <w:r>
        <w:t xml:space="preserve"> that may be applied singularly</w:t>
      </w:r>
      <w:r w:rsidRPr="00F56DE1">
        <w:t xml:space="preserve"> or in combination</w:t>
      </w:r>
      <w:r>
        <w:t>:</w:t>
      </w:r>
    </w:p>
    <w:p w14:paraId="5F9FE7C7" w14:textId="77777777" w:rsidR="00040702" w:rsidRDefault="00040702" w:rsidP="00040702">
      <w:pPr>
        <w:pStyle w:val="Bullet1"/>
      </w:pPr>
      <w:r w:rsidRPr="006610CB">
        <w:rPr>
          <w:b/>
        </w:rPr>
        <w:t>Prescribed Burning</w:t>
      </w:r>
      <w:r>
        <w:t>: Includes pile burning (prescribed burning of piles of vegetative material to reduce fuel and/or remove biomass following treatment) and broadcast burning (prescribed burning to reduce fuels over a larger area or restore fire resiliency in target fire-adapted plant communities; would be conducted under specific conditions related to fuels, weather, and other variables).</w:t>
      </w:r>
    </w:p>
    <w:p w14:paraId="148B9CAE" w14:textId="77777777" w:rsidR="00040702" w:rsidRDefault="00040702" w:rsidP="00040702">
      <w:pPr>
        <w:pStyle w:val="Bullet1"/>
      </w:pPr>
      <w:r w:rsidRPr="006610CB">
        <w:rPr>
          <w:b/>
        </w:rPr>
        <w:t>Mechanical Treatment</w:t>
      </w:r>
      <w:r>
        <w:t>: Use of motorized equipment to cut, uproot, crush/compact, or chop existing vegetation</w:t>
      </w:r>
    </w:p>
    <w:p w14:paraId="4B067B74" w14:textId="77777777" w:rsidR="00040702" w:rsidRDefault="00040702" w:rsidP="00040702">
      <w:pPr>
        <w:pStyle w:val="Bullet1"/>
      </w:pPr>
      <w:r w:rsidRPr="006610CB">
        <w:rPr>
          <w:b/>
        </w:rPr>
        <w:t>Manual Treatment</w:t>
      </w:r>
      <w:r>
        <w:t xml:space="preserve">: Use of hand tools and hand-operated power tools to cut, clear, or prune herbaceous or woody species </w:t>
      </w:r>
    </w:p>
    <w:p w14:paraId="52BAEC7A" w14:textId="77777777" w:rsidR="00040702" w:rsidRDefault="00040702" w:rsidP="00040702">
      <w:pPr>
        <w:pStyle w:val="Bullet1"/>
      </w:pPr>
      <w:r w:rsidRPr="006610CB">
        <w:rPr>
          <w:b/>
        </w:rPr>
        <w:t>Prescribed Herbivory</w:t>
      </w:r>
      <w:r>
        <w:t xml:space="preserve">: Use of domestic livestock to reduce a target plant population thereby reducing fire fuels or competition of desired plant species </w:t>
      </w:r>
    </w:p>
    <w:p w14:paraId="3837E539" w14:textId="19A80E7C" w:rsidR="00040702" w:rsidRDefault="00040702" w:rsidP="00DA4CD6">
      <w:pPr>
        <w:pStyle w:val="Bullet1"/>
      </w:pPr>
      <w:r w:rsidRPr="006610CB">
        <w:rPr>
          <w:b/>
        </w:rPr>
        <w:t>Herbicides</w:t>
      </w:r>
      <w:r>
        <w:t>: Chemical application designed to inhibit growth of target plant species</w:t>
      </w:r>
    </w:p>
    <w:p w14:paraId="5F407274" w14:textId="3900E3D4" w:rsidR="00D950D6" w:rsidRDefault="00D950D6" w:rsidP="00D950D6">
      <w:pPr>
        <w:pStyle w:val="Heading3"/>
      </w:pPr>
      <w:r>
        <w:lastRenderedPageBreak/>
        <w:t>Standard Project Requirements</w:t>
      </w:r>
    </w:p>
    <w:p w14:paraId="7A158B9B" w14:textId="3640D01B" w:rsidR="00D950D6" w:rsidRPr="00564B43" w:rsidRDefault="00D950D6" w:rsidP="00242575">
      <w:pPr>
        <w:pStyle w:val="BodyText"/>
      </w:pPr>
      <w:r>
        <w:t>Standard project requirements</w:t>
      </w:r>
      <w:r w:rsidR="00642125">
        <w:t xml:space="preserve"> (SPRs)</w:t>
      </w:r>
      <w:r>
        <w:t xml:space="preserve"> are presented as part of the proposed program to avoid and minimize environmental impacts and </w:t>
      </w:r>
      <w:r w:rsidRPr="00F56DE1">
        <w:t>comply</w:t>
      </w:r>
      <w:r>
        <w:t xml:space="preserve"> with </w:t>
      </w:r>
      <w:r w:rsidRPr="00F56DE1">
        <w:t>applicable laws and regulations</w:t>
      </w:r>
      <w:r w:rsidR="00642125">
        <w:t>. SPRs will be incorporated into later vegetation treatments under the CalVTP as a standard part of treatment</w:t>
      </w:r>
      <w:r w:rsidR="00642125" w:rsidRPr="00F56DE1">
        <w:t xml:space="preserve"> </w:t>
      </w:r>
      <w:r w:rsidR="00642125">
        <w:t xml:space="preserve">design </w:t>
      </w:r>
      <w:r w:rsidR="00642125" w:rsidRPr="00F56DE1">
        <w:t>and implementation</w:t>
      </w:r>
      <w:r w:rsidR="00642125">
        <w:t xml:space="preserve">. </w:t>
      </w:r>
      <w:r w:rsidR="005B2A06" w:rsidRPr="00DE7C91">
        <w:rPr>
          <w:u w:val="single"/>
        </w:rPr>
        <w:t xml:space="preserve">For the purposes of this PEIR, SPRs are intended to be implemented and enforced in the same way as mitigation measures consistent with Section 15126.4 of the State CEQA Guidelines. </w:t>
      </w:r>
      <w:r w:rsidR="00642125">
        <w:t xml:space="preserve">SPRs are the product of coordinated interagency efforts to integrate environmental protection into a comprehensive approach to reduce wildfire risk statewide through vegetation treatment. These SPRs provide the benefit of being mutually supported and predictable, such that they would be implemented consistently to achieve environmental protection. </w:t>
      </w:r>
    </w:p>
    <w:p w14:paraId="7F2CA464" w14:textId="5DD2B1AD" w:rsidR="0061282F" w:rsidRDefault="0061282F" w:rsidP="0061282F">
      <w:pPr>
        <w:pStyle w:val="Heading2"/>
      </w:pPr>
      <w:bookmarkStart w:id="24" w:name="_Toc480195414"/>
      <w:bookmarkStart w:id="25" w:name="_Toc485802923"/>
      <w:bookmarkStart w:id="26" w:name="_Toc514146164"/>
      <w:bookmarkStart w:id="27" w:name="_Toc24009443"/>
      <w:r>
        <w:t xml:space="preserve">Environmental Impacts and </w:t>
      </w:r>
      <w:r w:rsidR="00BD736E">
        <w:t xml:space="preserve">proposed </w:t>
      </w:r>
      <w:r>
        <w:t>Mitigation Measures</w:t>
      </w:r>
      <w:bookmarkEnd w:id="24"/>
      <w:bookmarkEnd w:id="25"/>
      <w:bookmarkEnd w:id="26"/>
      <w:bookmarkEnd w:id="27"/>
    </w:p>
    <w:p w14:paraId="53DE3E50" w14:textId="76F721C5" w:rsidR="00CF28DB" w:rsidRDefault="00E70AB4" w:rsidP="00242575">
      <w:pPr>
        <w:pStyle w:val="BodyText"/>
      </w:pPr>
      <w:r w:rsidRPr="00E70AB4">
        <w:t xml:space="preserve">This </w:t>
      </w:r>
      <w:r w:rsidR="004224E2">
        <w:t>P</w:t>
      </w:r>
      <w:r w:rsidRPr="00E70AB4">
        <w:t xml:space="preserve">EIR has been prepared to evaluate the physical environmental effects of the proposed </w:t>
      </w:r>
      <w:r w:rsidR="004224E2">
        <w:t>CalVTP</w:t>
      </w:r>
      <w:r w:rsidRPr="00E70AB4">
        <w:t xml:space="preserve">. </w:t>
      </w:r>
      <w:r w:rsidR="00CF28DB" w:rsidRPr="00C53989">
        <w:t xml:space="preserve">Table </w:t>
      </w:r>
      <w:r w:rsidR="00DA4CD6">
        <w:t>ES</w:t>
      </w:r>
      <w:r w:rsidR="00CF28DB" w:rsidRPr="00C53989">
        <w:t>-1, presented</w:t>
      </w:r>
      <w:r w:rsidR="00CF28DB" w:rsidRPr="005102FF">
        <w:t xml:space="preserve"> at the end of this chapter, provides a summary of the environmental impacts </w:t>
      </w:r>
      <w:r w:rsidR="004224E2">
        <w:t>potentially resulting from implementation of the proposed CalVTP</w:t>
      </w:r>
      <w:r w:rsidR="00CF28DB" w:rsidRPr="005102FF">
        <w:t xml:space="preserve">. The table </w:t>
      </w:r>
      <w:r w:rsidR="004224E2">
        <w:t>identifies</w:t>
      </w:r>
      <w:r w:rsidR="00CF28DB" w:rsidRPr="005102FF">
        <w:t xml:space="preserve"> the level of significance of the impact before mitigation, mitigation measures</w:t>
      </w:r>
      <w:r w:rsidR="00A069CE">
        <w:t xml:space="preserve"> proposed for the program</w:t>
      </w:r>
      <w:r w:rsidR="00CF28DB" w:rsidRPr="005102FF">
        <w:t>, and the level of significance of the impact after implementation of the mitigation measures</w:t>
      </w:r>
      <w:r w:rsidR="00CF28DB" w:rsidRPr="00522DD4">
        <w:t xml:space="preserve">. </w:t>
      </w:r>
    </w:p>
    <w:p w14:paraId="7EE96604" w14:textId="680E6C98" w:rsidR="00522DD4" w:rsidRDefault="00522DD4" w:rsidP="00522DD4">
      <w:pPr>
        <w:pStyle w:val="Heading3"/>
      </w:pPr>
      <w:bookmarkStart w:id="28" w:name="_Toc480195416"/>
      <w:r>
        <w:t>Significant</w:t>
      </w:r>
      <w:r w:rsidR="00474642">
        <w:t xml:space="preserve"> </w:t>
      </w:r>
      <w:r>
        <w:t>and</w:t>
      </w:r>
      <w:r w:rsidR="00474642">
        <w:t xml:space="preserve"> </w:t>
      </w:r>
      <w:r>
        <w:t>Unavoidable Impacts</w:t>
      </w:r>
      <w:bookmarkEnd w:id="28"/>
    </w:p>
    <w:p w14:paraId="143A490A" w14:textId="081BCC74" w:rsidR="004224E2" w:rsidRDefault="009D3FDD" w:rsidP="00242575">
      <w:pPr>
        <w:pStyle w:val="BodyText"/>
      </w:pPr>
      <w:r>
        <w:t>T</w:t>
      </w:r>
      <w:r w:rsidR="004224E2">
        <w:t>he majority of qualifying treatments under the CalVTP would result in less-than-significant impacts</w:t>
      </w:r>
      <w:r w:rsidR="00D950D6">
        <w:t xml:space="preserve"> </w:t>
      </w:r>
      <w:bookmarkStart w:id="29" w:name="_Hlk8214571"/>
      <w:r w:rsidR="00D950D6">
        <w:t xml:space="preserve">or impacts that </w:t>
      </w:r>
      <w:r w:rsidR="00C751AD">
        <w:t xml:space="preserve">could </w:t>
      </w:r>
      <w:r w:rsidR="00D950D6">
        <w:t>be reduced to less than significan</w:t>
      </w:r>
      <w:r w:rsidR="00C751AD">
        <w:t>t</w:t>
      </w:r>
      <w:r w:rsidR="00D950D6">
        <w:t xml:space="preserve"> with implementation of </w:t>
      </w:r>
      <w:r>
        <w:t xml:space="preserve">feasible </w:t>
      </w:r>
      <w:r w:rsidR="00D950D6">
        <w:t>mitigation</w:t>
      </w:r>
      <w:bookmarkEnd w:id="29"/>
      <w:r>
        <w:t xml:space="preserve"> measures</w:t>
      </w:r>
      <w:r w:rsidR="00D800D8">
        <w:t>. In some cases,</w:t>
      </w:r>
      <w:r w:rsidR="004224E2">
        <w:t xml:space="preserve"> </w:t>
      </w:r>
      <w:r>
        <w:t>h</w:t>
      </w:r>
      <w:r w:rsidR="00474642">
        <w:t xml:space="preserve">owever, </w:t>
      </w:r>
      <w:r>
        <w:t>even though the forecasted outcome</w:t>
      </w:r>
      <w:r w:rsidR="00D800D8">
        <w:t>s</w:t>
      </w:r>
      <w:r>
        <w:t xml:space="preserve"> would be less than significant</w:t>
      </w:r>
      <w:r w:rsidR="00D800D8">
        <w:t xml:space="preserve"> or </w:t>
      </w:r>
      <w:bookmarkStart w:id="30" w:name="_Hlk11155118"/>
      <w:r w:rsidR="00063DA3">
        <w:t xml:space="preserve">potentially </w:t>
      </w:r>
      <w:bookmarkEnd w:id="30"/>
      <w:r w:rsidR="00D800D8">
        <w:t>beneficial</w:t>
      </w:r>
      <w:r>
        <w:t xml:space="preserve">, </w:t>
      </w:r>
      <w:r w:rsidR="00474642">
        <w:t xml:space="preserve">because of </w:t>
      </w:r>
      <w:r w:rsidR="00474642" w:rsidRPr="00F854A1">
        <w:t xml:space="preserve">uncertainty </w:t>
      </w:r>
      <w:r w:rsidR="00474642">
        <w:t>related</w:t>
      </w:r>
      <w:r>
        <w:t xml:space="preserve"> </w:t>
      </w:r>
      <w:r w:rsidR="00C751AD">
        <w:t xml:space="preserve">to </w:t>
      </w:r>
      <w:r w:rsidR="00D800D8">
        <w:t xml:space="preserve">future </w:t>
      </w:r>
      <w:r>
        <w:t>predictions, the PEIR notes for CEQA purposes of good-faith disclosure that the impacts may be significant and unavoidable</w:t>
      </w:r>
      <w:r w:rsidR="00D800D8">
        <w:t xml:space="preserve"> notwithstanding the expected less than significant or </w:t>
      </w:r>
      <w:bookmarkStart w:id="31" w:name="_Hlk11154914"/>
      <w:r w:rsidR="00063DA3">
        <w:t xml:space="preserve">potentially </w:t>
      </w:r>
      <w:bookmarkEnd w:id="31"/>
      <w:r w:rsidR="00D800D8">
        <w:t>beneficial predictions</w:t>
      </w:r>
      <w:r>
        <w:t>.</w:t>
      </w:r>
      <w:r w:rsidR="000868F0">
        <w:t xml:space="preserve"> </w:t>
      </w:r>
      <w:r w:rsidR="00C751AD">
        <w:t>U</w:t>
      </w:r>
      <w:r>
        <w:t xml:space="preserve">ncertainties </w:t>
      </w:r>
      <w:r w:rsidR="00C751AD">
        <w:t>relate to</w:t>
      </w:r>
      <w:r>
        <w:t xml:space="preserve">: </w:t>
      </w:r>
      <w:r w:rsidR="00474642" w:rsidRPr="00F854A1">
        <w:t>predicting future wildfire occurrence</w:t>
      </w:r>
      <w:r>
        <w:t xml:space="preserve"> and severity after treatments</w:t>
      </w:r>
      <w:r w:rsidR="00474642">
        <w:t xml:space="preserve">, evolving research and development related to </w:t>
      </w:r>
      <w:r w:rsidR="00474642" w:rsidRPr="00F854A1">
        <w:t>carbon sequestration rates</w:t>
      </w:r>
      <w:r>
        <w:t>,</w:t>
      </w:r>
      <w:r w:rsidR="00474642">
        <w:t xml:space="preserve"> </w:t>
      </w:r>
      <w:bookmarkStart w:id="32" w:name="_Hlk11154927"/>
      <w:r w:rsidR="00063DA3">
        <w:t xml:space="preserve">ongoing tribal consultation, </w:t>
      </w:r>
      <w:bookmarkEnd w:id="32"/>
      <w:r w:rsidR="00474642">
        <w:t>and the solid organic waste processing industry</w:t>
      </w:r>
      <w:r>
        <w:t xml:space="preserve"> trends for handling woody biomass</w:t>
      </w:r>
      <w:r w:rsidR="00474642">
        <w:t xml:space="preserve">. </w:t>
      </w:r>
      <w:r>
        <w:t xml:space="preserve">Below is </w:t>
      </w:r>
      <w:r w:rsidR="004224E2">
        <w:t xml:space="preserve">a summary </w:t>
      </w:r>
      <w:r>
        <w:t xml:space="preserve">listing </w:t>
      </w:r>
      <w:r w:rsidR="004224E2">
        <w:t>of potentially significant and unavoidable impacts; it is important to review the</w:t>
      </w:r>
      <w:r w:rsidR="009931C9">
        <w:t xml:space="preserve"> impact</w:t>
      </w:r>
      <w:r w:rsidR="004224E2">
        <w:t xml:space="preserve"> discussions in Chapters 3 and 4 of this PEIR to understand the full context of the impact significance determinations.</w:t>
      </w:r>
    </w:p>
    <w:p w14:paraId="1B10C992" w14:textId="68F4B2C0" w:rsidR="004224E2" w:rsidRDefault="004224E2" w:rsidP="00242575">
      <w:pPr>
        <w:pStyle w:val="BodyText"/>
      </w:pPr>
      <w:r w:rsidRPr="00437F64">
        <w:t xml:space="preserve">Implementation of the </w:t>
      </w:r>
      <w:r>
        <w:t>CalVTP</w:t>
      </w:r>
      <w:r w:rsidRPr="00437F64">
        <w:t xml:space="preserve"> </w:t>
      </w:r>
      <w:r w:rsidR="009D3FDD">
        <w:t>c</w:t>
      </w:r>
      <w:r w:rsidRPr="00437F64">
        <w:t xml:space="preserve">ould result in the following </w:t>
      </w:r>
      <w:r w:rsidR="009D3FDD">
        <w:t xml:space="preserve">potentially </w:t>
      </w:r>
      <w:r w:rsidRPr="00437F64">
        <w:t xml:space="preserve">significant </w:t>
      </w:r>
      <w:r w:rsidR="00C751AD">
        <w:t xml:space="preserve">and </w:t>
      </w:r>
      <w:r w:rsidRPr="00437F64">
        <w:t>unavoidable environmental impacts</w:t>
      </w:r>
      <w:r>
        <w:t xml:space="preserve"> after </w:t>
      </w:r>
      <w:r w:rsidRPr="00437F64">
        <w:t>implementation of feasible mitigation measures:</w:t>
      </w:r>
    </w:p>
    <w:p w14:paraId="571ED9A4" w14:textId="2D7F2EB2" w:rsidR="00D800D8" w:rsidRDefault="00D800D8" w:rsidP="003F5C2A">
      <w:pPr>
        <w:pStyle w:val="Heading5"/>
      </w:pPr>
      <w:r>
        <w:t xml:space="preserve">Impacts Forecasted to </w:t>
      </w:r>
      <w:r w:rsidR="00C751AD">
        <w:t>B</w:t>
      </w:r>
      <w:r>
        <w:t>e Significant and Unavoidable</w:t>
      </w:r>
    </w:p>
    <w:p w14:paraId="6E119DB5" w14:textId="77777777" w:rsidR="004224E2" w:rsidRPr="00546D35" w:rsidRDefault="004224E2" w:rsidP="004224E2">
      <w:pPr>
        <w:pStyle w:val="Bullet1"/>
      </w:pPr>
      <w:r w:rsidRPr="00A00249">
        <w:t xml:space="preserve">Impact </w:t>
      </w:r>
      <w:r>
        <w:t>AES</w:t>
      </w:r>
      <w:r w:rsidRPr="00A00249">
        <w:t>-</w:t>
      </w:r>
      <w:r>
        <w:t>3</w:t>
      </w:r>
      <w:r w:rsidRPr="00546D35">
        <w:t>: Result in Long-Term Substantial Degradation of a Scenic Vista or Visual Character or Quality of Public Views, or Damage to Scenic Resources in a State Scenic Highway from the Non-Shaded Fuel Break Treatment Type</w:t>
      </w:r>
    </w:p>
    <w:p w14:paraId="6919071D" w14:textId="77777777" w:rsidR="004224E2" w:rsidRPr="00546D35" w:rsidRDefault="004224E2" w:rsidP="004224E2">
      <w:pPr>
        <w:pStyle w:val="Bullet1"/>
      </w:pPr>
      <w:r w:rsidRPr="00546D35">
        <w:t>Impact CUL-2: Cause a Substantial Adverse Change in the Significance of Unique Archaeological Resources or Subsurface Historical Resources</w:t>
      </w:r>
    </w:p>
    <w:p w14:paraId="76DCC80C" w14:textId="032F311E" w:rsidR="00D800D8" w:rsidRDefault="00D800D8" w:rsidP="003F5C2A">
      <w:pPr>
        <w:pStyle w:val="Heading5"/>
      </w:pPr>
      <w:r>
        <w:t xml:space="preserve">Impacts Forecasted to </w:t>
      </w:r>
      <w:r w:rsidR="00C751AD">
        <w:t>B</w:t>
      </w:r>
      <w:r>
        <w:t>e Less Than Significant or Beneficial, But Noted as Potentially Significant and Unavoidable Because of Future Uncertainties</w:t>
      </w:r>
    </w:p>
    <w:p w14:paraId="6C9150DE" w14:textId="4261AA4D" w:rsidR="0007781C" w:rsidRPr="00546D35" w:rsidRDefault="0007781C" w:rsidP="0007781C">
      <w:pPr>
        <w:pStyle w:val="Bullet1"/>
      </w:pPr>
      <w:bookmarkStart w:id="33" w:name="_Hlk11154964"/>
      <w:r w:rsidRPr="00CC6793">
        <w:t xml:space="preserve">Impact </w:t>
      </w:r>
      <w:r>
        <w:t>AQ-</w:t>
      </w:r>
      <w:r w:rsidR="00063DA3">
        <w:t>1</w:t>
      </w:r>
      <w:r w:rsidRPr="00CC6793">
        <w:t xml:space="preserve">: </w:t>
      </w:r>
      <w:r>
        <w:t xml:space="preserve">Generate </w:t>
      </w:r>
      <w:r w:rsidRPr="007976EB">
        <w:t xml:space="preserve">Emissions of Criteria Air Pollutants and Precursors </w:t>
      </w:r>
      <w:r>
        <w:t>During</w:t>
      </w:r>
      <w:r w:rsidRPr="007976EB">
        <w:t xml:space="preserve"> </w:t>
      </w:r>
      <w:r>
        <w:t xml:space="preserve">Treatment Activities </w:t>
      </w:r>
      <w:r w:rsidR="00C751AD">
        <w:t>T</w:t>
      </w:r>
      <w:r>
        <w:t xml:space="preserve">hat </w:t>
      </w:r>
      <w:r w:rsidR="00C751AD">
        <w:t>W</w:t>
      </w:r>
      <w:r>
        <w:t xml:space="preserve">ould </w:t>
      </w:r>
      <w:r w:rsidR="00C751AD">
        <w:t>E</w:t>
      </w:r>
      <w:r>
        <w:t>xceed CAAQS or NAAQS</w:t>
      </w:r>
    </w:p>
    <w:p w14:paraId="1DD85680" w14:textId="686524C5" w:rsidR="0007781C" w:rsidRPr="00546D35" w:rsidRDefault="0007781C" w:rsidP="0007781C">
      <w:pPr>
        <w:pStyle w:val="Bullet1"/>
      </w:pPr>
      <w:r w:rsidRPr="00CC6793">
        <w:t xml:space="preserve">Impact </w:t>
      </w:r>
      <w:r>
        <w:t>AQ-</w:t>
      </w:r>
      <w:r w:rsidR="00063DA3">
        <w:t>4</w:t>
      </w:r>
      <w:r w:rsidRPr="00CC6793">
        <w:t xml:space="preserve">: </w:t>
      </w:r>
      <w:r w:rsidRPr="00000FCE">
        <w:t>Expos</w:t>
      </w:r>
      <w:r>
        <w:t>e</w:t>
      </w:r>
      <w:r w:rsidRPr="00000FCE">
        <w:t xml:space="preserve"> </w:t>
      </w:r>
      <w:r>
        <w:t xml:space="preserve">People </w:t>
      </w:r>
      <w:r w:rsidRPr="00000FCE">
        <w:t xml:space="preserve">to </w:t>
      </w:r>
      <w:r>
        <w:t>Toxic Air Contaminants Emitted by Prescribed Burns and Related Health Risk</w:t>
      </w:r>
    </w:p>
    <w:p w14:paraId="0F7B3E1A" w14:textId="37CF333A" w:rsidR="0007781C" w:rsidRDefault="0007781C" w:rsidP="0007781C">
      <w:pPr>
        <w:pStyle w:val="Bullet1"/>
      </w:pPr>
      <w:r w:rsidRPr="00CC6793">
        <w:t xml:space="preserve">Impact </w:t>
      </w:r>
      <w:r>
        <w:t>AQ-</w:t>
      </w:r>
      <w:r w:rsidR="00063DA3">
        <w:t>6</w:t>
      </w:r>
      <w:r w:rsidRPr="00CC6793">
        <w:t xml:space="preserve">: </w:t>
      </w:r>
      <w:r w:rsidRPr="00000FCE">
        <w:t>Expos</w:t>
      </w:r>
      <w:r>
        <w:t>e</w:t>
      </w:r>
      <w:r w:rsidRPr="00000FCE">
        <w:t xml:space="preserve"> </w:t>
      </w:r>
      <w:r>
        <w:t xml:space="preserve">People </w:t>
      </w:r>
      <w:r w:rsidRPr="00000FCE">
        <w:t xml:space="preserve">to </w:t>
      </w:r>
      <w:r>
        <w:t xml:space="preserve">Objectionable </w:t>
      </w:r>
      <w:r w:rsidRPr="00000FCE">
        <w:t>Odors</w:t>
      </w:r>
      <w:r>
        <w:t xml:space="preserve"> from Smoke </w:t>
      </w:r>
      <w:r w:rsidR="00C751AD">
        <w:t>d</w:t>
      </w:r>
      <w:r>
        <w:t>uring Prescribed Burning</w:t>
      </w:r>
    </w:p>
    <w:p w14:paraId="65C92310" w14:textId="1181AD13" w:rsidR="003C4127" w:rsidRDefault="003C4127" w:rsidP="003C4127">
      <w:pPr>
        <w:pStyle w:val="Bullet1"/>
      </w:pPr>
      <w:r w:rsidRPr="00B504E4">
        <w:lastRenderedPageBreak/>
        <w:t xml:space="preserve">Impact BIO-2: Substantially Affect Special-Status Wildlife </w:t>
      </w:r>
      <w:r>
        <w:t xml:space="preserve">(Bumble Bee) </w:t>
      </w:r>
      <w:r w:rsidRPr="00B504E4">
        <w:t>Species Either Directly or Through Habitat Modifications</w:t>
      </w:r>
    </w:p>
    <w:p w14:paraId="4B43D21E" w14:textId="4C966235" w:rsidR="00063DA3" w:rsidRPr="00DE7C91" w:rsidRDefault="00063DA3" w:rsidP="00063DA3">
      <w:pPr>
        <w:pStyle w:val="Bullet1"/>
        <w:rPr>
          <w:strike/>
        </w:rPr>
      </w:pPr>
      <w:r w:rsidRPr="00DE7C91">
        <w:rPr>
          <w:strike/>
        </w:rPr>
        <w:t>Impact CUL-3: Cause a Substantial Adverse Change in the Significance of a Tribal Cultural Resource</w:t>
      </w:r>
    </w:p>
    <w:bookmarkEnd w:id="33"/>
    <w:p w14:paraId="0032D14F" w14:textId="7A4F2D46" w:rsidR="004224E2" w:rsidRPr="00546D35" w:rsidRDefault="004224E2" w:rsidP="004224E2">
      <w:pPr>
        <w:pStyle w:val="Bullet1"/>
      </w:pPr>
      <w:r w:rsidRPr="00CC6793">
        <w:t xml:space="preserve">Impact </w:t>
      </w:r>
      <w:r>
        <w:t>GHG-2</w:t>
      </w:r>
      <w:r w:rsidRPr="00CC6793">
        <w:t xml:space="preserve">: </w:t>
      </w:r>
      <w:r>
        <w:t>Generate GHG Emissions through Treatment Activities</w:t>
      </w:r>
      <w:r w:rsidRPr="00546D35">
        <w:t xml:space="preserve"> </w:t>
      </w:r>
    </w:p>
    <w:p w14:paraId="38947B26" w14:textId="77777777" w:rsidR="004224E2" w:rsidRPr="00546D35" w:rsidRDefault="004224E2" w:rsidP="004224E2">
      <w:pPr>
        <w:pStyle w:val="Bullet1"/>
      </w:pPr>
      <w:r w:rsidRPr="00546D35">
        <w:t>Impact TRAN-3: Result in a Net Increase in VMT for the Proposed CalVTP</w:t>
      </w:r>
    </w:p>
    <w:p w14:paraId="3345242B" w14:textId="77777777" w:rsidR="004224E2" w:rsidRPr="00D46586" w:rsidRDefault="004224E2" w:rsidP="004224E2">
      <w:pPr>
        <w:pStyle w:val="Bullet1"/>
      </w:pPr>
      <w:r w:rsidRPr="00546D35">
        <w:t>Impact UTIL-2: Generate</w:t>
      </w:r>
      <w:r>
        <w:t xml:space="preserve"> Solid Waste in Excess of State Standards or Exceed Local Infrastructure Capacity</w:t>
      </w:r>
    </w:p>
    <w:p w14:paraId="7E8952CB" w14:textId="22ECF716" w:rsidR="004224E2" w:rsidRDefault="004224E2" w:rsidP="004224E2">
      <w:pPr>
        <w:pStyle w:val="BodyText"/>
      </w:pPr>
      <w:r w:rsidRPr="00E57B13">
        <w:t xml:space="preserve">Cumulative impacts </w:t>
      </w:r>
      <w:r>
        <w:t xml:space="preserve">for the issues listed above would also be </w:t>
      </w:r>
      <w:r w:rsidRPr="00E57B13">
        <w:t xml:space="preserve">significant and unavoidable </w:t>
      </w:r>
      <w:r>
        <w:t>(considerable</w:t>
      </w:r>
      <w:r w:rsidR="00D800D8">
        <w:t xml:space="preserve"> contributions to a </w:t>
      </w:r>
      <w:r w:rsidR="00A069CE">
        <w:t xml:space="preserve">cumulatively </w:t>
      </w:r>
      <w:r w:rsidR="00D800D8">
        <w:t>significant impact</w:t>
      </w:r>
      <w:r>
        <w:t xml:space="preserve">) </w:t>
      </w:r>
      <w:r w:rsidRPr="00E57B13">
        <w:t>as a result of implementation of the CalVTP.</w:t>
      </w:r>
    </w:p>
    <w:p w14:paraId="5B67F6DD" w14:textId="61573062" w:rsidR="0061282F" w:rsidRDefault="0061282F" w:rsidP="0061282F">
      <w:pPr>
        <w:pStyle w:val="Heading2"/>
      </w:pPr>
      <w:bookmarkStart w:id="34" w:name="_Toc480195417"/>
      <w:bookmarkStart w:id="35" w:name="_Toc485802924"/>
      <w:bookmarkStart w:id="36" w:name="_Toc514146165"/>
      <w:bookmarkStart w:id="37" w:name="_Toc24009444"/>
      <w:r>
        <w:t xml:space="preserve">Alternatives to the Proposed </w:t>
      </w:r>
      <w:bookmarkEnd w:id="34"/>
      <w:bookmarkEnd w:id="35"/>
      <w:bookmarkEnd w:id="36"/>
      <w:r w:rsidR="008B514E">
        <w:t>C</w:t>
      </w:r>
      <w:r w:rsidR="008B514E">
        <w:rPr>
          <w:caps w:val="0"/>
        </w:rPr>
        <w:t>al</w:t>
      </w:r>
      <w:r w:rsidR="008B514E">
        <w:t>VTP</w:t>
      </w:r>
      <w:bookmarkEnd w:id="37"/>
    </w:p>
    <w:p w14:paraId="196ECC23" w14:textId="0BAE3EF6" w:rsidR="008B514E" w:rsidRDefault="008B514E" w:rsidP="00242575">
      <w:pPr>
        <w:pStyle w:val="BodyText"/>
        <w:rPr>
          <w:spacing w:val="-2"/>
        </w:rPr>
      </w:pPr>
      <w:r>
        <w:t>A</w:t>
      </w:r>
      <w:r w:rsidRPr="000C7922">
        <w:t xml:space="preserve">gencies, organizations, </w:t>
      </w:r>
      <w:r w:rsidRPr="001D1133">
        <w:t>and individuals provided suggestions for alternatives during interagency consultation and review of the Notice of Preparation (NOP). Alternative</w:t>
      </w:r>
      <w:r w:rsidR="001D1133" w:rsidRPr="001D1133">
        <w:t>s</w:t>
      </w:r>
      <w:r w:rsidRPr="001D1133">
        <w:t xml:space="preserve"> were evaluated for consideration in the PEIR if the</w:t>
      </w:r>
      <w:r w:rsidR="001D1133" w:rsidRPr="001D1133">
        <w:t>y</w:t>
      </w:r>
      <w:r w:rsidRPr="001D1133">
        <w:t xml:space="preserve"> were determined to</w:t>
      </w:r>
      <w:r w:rsidR="001D1133">
        <w:t xml:space="preserve">: </w:t>
      </w:r>
      <w:r w:rsidR="00C751AD">
        <w:t>(</w:t>
      </w:r>
      <w:r w:rsidR="001D1133">
        <w:t>1)</w:t>
      </w:r>
      <w:r w:rsidR="001D1133" w:rsidRPr="001D1133">
        <w:t xml:space="preserve"> accomplish all or most of the project objectives, </w:t>
      </w:r>
      <w:r w:rsidR="00C751AD">
        <w:t>(</w:t>
      </w:r>
      <w:r w:rsidR="001D1133">
        <w:t xml:space="preserve">2) </w:t>
      </w:r>
      <w:r w:rsidR="001D1133" w:rsidRPr="001D1133">
        <w:t>be potentially feasible (from economic, legal, regulatory, and technological standpoints)</w:t>
      </w:r>
      <w:r w:rsidR="001D1133">
        <w:t>,</w:t>
      </w:r>
      <w:r w:rsidR="001D1133" w:rsidRPr="001D1133">
        <w:t xml:space="preserve"> and</w:t>
      </w:r>
      <w:r w:rsidR="001D1133">
        <w:t xml:space="preserve"> </w:t>
      </w:r>
      <w:r w:rsidR="00C751AD">
        <w:t>(</w:t>
      </w:r>
      <w:r w:rsidR="001D1133">
        <w:t>3)</w:t>
      </w:r>
      <w:r w:rsidR="001D1133" w:rsidRPr="001D1133">
        <w:t xml:space="preserve"> avoid or substantially lessen any significant effects of the proposed program. </w:t>
      </w:r>
      <w:r w:rsidR="001D1133">
        <w:t xml:space="preserve">Alternatives that </w:t>
      </w:r>
      <w:r w:rsidRPr="00B0507C">
        <w:t>meet the</w:t>
      </w:r>
      <w:r w:rsidR="001D1133">
        <w:t xml:space="preserve">se evaluation </w:t>
      </w:r>
      <w:r w:rsidRPr="00B0507C">
        <w:t xml:space="preserve">criteria </w:t>
      </w:r>
      <w:r w:rsidR="001D1133">
        <w:t>are</w:t>
      </w:r>
      <w:r w:rsidRPr="00B0507C">
        <w:t xml:space="preserve"> evaluated in the </w:t>
      </w:r>
      <w:r>
        <w:t>P</w:t>
      </w:r>
      <w:r w:rsidRPr="00B0507C">
        <w:t>EIR</w:t>
      </w:r>
      <w:r w:rsidR="001D1133">
        <w:t>, and are listed as follows:</w:t>
      </w:r>
    </w:p>
    <w:p w14:paraId="3B365A31" w14:textId="77777777" w:rsidR="008B514E" w:rsidRPr="002D7745" w:rsidRDefault="008B514E" w:rsidP="008B514E">
      <w:pPr>
        <w:pStyle w:val="Bullet1"/>
      </w:pPr>
      <w:r>
        <w:rPr>
          <w:b/>
        </w:rPr>
        <w:t>No Program</w:t>
      </w:r>
      <w:r w:rsidRPr="002D7745">
        <w:rPr>
          <w:b/>
        </w:rPr>
        <w:t xml:space="preserve"> Alternative</w:t>
      </w:r>
      <w:r w:rsidRPr="002D7745">
        <w:t>, which assumes</w:t>
      </w:r>
      <w:r w:rsidRPr="00AB29E4">
        <w:t xml:space="preserve"> vegetation treatments</w:t>
      </w:r>
      <w:r>
        <w:t xml:space="preserve"> would continue to be implemented</w:t>
      </w:r>
      <w:r w:rsidRPr="00AB29E4">
        <w:t xml:space="preserve"> through existing </w:t>
      </w:r>
      <w:r>
        <w:t>plans, policies, and operations</w:t>
      </w:r>
      <w:r w:rsidRPr="002D7745">
        <w:t xml:space="preserve">; </w:t>
      </w:r>
    </w:p>
    <w:p w14:paraId="2F2ED4A8" w14:textId="77777777" w:rsidR="008B514E" w:rsidRPr="00AB29E4" w:rsidRDefault="008B514E" w:rsidP="008B514E">
      <w:pPr>
        <w:pStyle w:val="Bullet1"/>
      </w:pPr>
      <w:r w:rsidRPr="00AB29E4">
        <w:rPr>
          <w:b/>
        </w:rPr>
        <w:t>Alternative A: Reduced Scale of Treatments</w:t>
      </w:r>
      <w:r w:rsidRPr="00AB29E4">
        <w:t>, which would treat up to 60,000 acres per year with a combination of WUI fuel reduction, fuel break, and ecological restoration projects across the entire treatable landscape;</w:t>
      </w:r>
      <w:r w:rsidRPr="00AB29E4">
        <w:rPr>
          <w:b/>
        </w:rPr>
        <w:t xml:space="preserve"> </w:t>
      </w:r>
    </w:p>
    <w:p w14:paraId="32A0F61E" w14:textId="77777777" w:rsidR="008B514E" w:rsidRPr="00512134" w:rsidRDefault="008B514E" w:rsidP="008B514E">
      <w:pPr>
        <w:pStyle w:val="Bullet1"/>
      </w:pPr>
      <w:r w:rsidRPr="00512134">
        <w:rPr>
          <w:b/>
        </w:rPr>
        <w:t>Alternative B: WUI Fuel Reduction Only</w:t>
      </w:r>
      <w:r w:rsidRPr="00512134">
        <w:t>, which would seek to treat approximately 250,000 acres per year entirely within the WUI</w:t>
      </w:r>
      <w:r>
        <w:t>,</w:t>
      </w:r>
      <w:r w:rsidRPr="00512134">
        <w:t xml:space="preserve"> encompassing approximately 10.1 million acres of the treatable landscape;</w:t>
      </w:r>
    </w:p>
    <w:p w14:paraId="640EA281" w14:textId="77777777" w:rsidR="008B514E" w:rsidRPr="00512134" w:rsidRDefault="008B514E" w:rsidP="008B514E">
      <w:pPr>
        <w:pStyle w:val="Bullet1"/>
      </w:pPr>
      <w:r w:rsidRPr="00512134">
        <w:rPr>
          <w:b/>
        </w:rPr>
        <w:t>Alternative C: Modified WUI Fuel Reduction and Fuel Breaks</w:t>
      </w:r>
      <w:r w:rsidRPr="00512134">
        <w:t>, which would seek to treat approximately 250,000 acres per year through WUI fuel reduction and fuel breaks without the use of prescribed burning in chaparral and coastal sage scrub vegetation types;</w:t>
      </w:r>
    </w:p>
    <w:p w14:paraId="207D2541" w14:textId="77777777" w:rsidR="008B514E" w:rsidRPr="00DD3BE0" w:rsidRDefault="008B514E" w:rsidP="008B514E">
      <w:pPr>
        <w:pStyle w:val="Bullet1"/>
      </w:pPr>
      <w:r w:rsidRPr="00512134">
        <w:rPr>
          <w:b/>
        </w:rPr>
        <w:t>Alternative D: No</w:t>
      </w:r>
      <w:r>
        <w:rPr>
          <w:b/>
        </w:rPr>
        <w:t xml:space="preserve"> Prescribed Burning </w:t>
      </w:r>
      <w:r w:rsidRPr="00512134">
        <w:rPr>
          <w:b/>
        </w:rPr>
        <w:t>Treatments</w:t>
      </w:r>
      <w:r>
        <w:rPr>
          <w:b/>
        </w:rPr>
        <w:t>,</w:t>
      </w:r>
      <w:r w:rsidRPr="00512134">
        <w:rPr>
          <w:rFonts w:ascii="Calibri" w:hAnsi="Calibri" w:cs="Times New Roman"/>
        </w:rPr>
        <w:t xml:space="preserve"> </w:t>
      </w:r>
      <w:r>
        <w:t>which would s</w:t>
      </w:r>
      <w:r w:rsidRPr="00512134">
        <w:t xml:space="preserve">eek to treat approximately 250,000 acres per year with a combination of WUI fuel reduction, fuel break, and ecological restoration projects </w:t>
      </w:r>
      <w:r>
        <w:t>without the use of prescribed burning; and</w:t>
      </w:r>
    </w:p>
    <w:p w14:paraId="37C74D43" w14:textId="37465CCB" w:rsidR="00976DF2" w:rsidRDefault="008B514E" w:rsidP="008B514E">
      <w:pPr>
        <w:pStyle w:val="Bullet1"/>
      </w:pPr>
      <w:r>
        <w:rPr>
          <w:b/>
        </w:rPr>
        <w:t xml:space="preserve">Alternative E: No Herbicide Treatments, </w:t>
      </w:r>
      <w:r>
        <w:t>which would s</w:t>
      </w:r>
      <w:r w:rsidRPr="00512134">
        <w:t xml:space="preserve">eek to treat approximately 250,000 acres per year with a combination of WUI fuel reduction, fuel break, and ecological restoration projects </w:t>
      </w:r>
      <w:r>
        <w:t>without the use of herbicides</w:t>
      </w:r>
      <w:r w:rsidRPr="00512134">
        <w:t>.</w:t>
      </w:r>
    </w:p>
    <w:p w14:paraId="63630C3B" w14:textId="7B8F8CF4" w:rsidR="001D1133" w:rsidRDefault="001D1133" w:rsidP="001D1133">
      <w:pPr>
        <w:pStyle w:val="BodyText"/>
      </w:pPr>
      <w:r w:rsidRPr="00B0507C">
        <w:t xml:space="preserve">Those </w:t>
      </w:r>
      <w:r w:rsidR="00C751AD">
        <w:t xml:space="preserve">alternatives </w:t>
      </w:r>
      <w:r w:rsidRPr="00B0507C">
        <w:t xml:space="preserve">that do not meet </w:t>
      </w:r>
      <w:r w:rsidR="009305D0">
        <w:t xml:space="preserve">the </w:t>
      </w:r>
      <w:r w:rsidRPr="00B0507C">
        <w:t xml:space="preserve">criteria </w:t>
      </w:r>
      <w:r w:rsidR="009305D0">
        <w:t>identified above</w:t>
      </w:r>
      <w:r w:rsidR="00A047AB">
        <w:t xml:space="preserve"> </w:t>
      </w:r>
      <w:r w:rsidR="00A069CE">
        <w:t xml:space="preserve">for detailed evaluation </w:t>
      </w:r>
      <w:r w:rsidR="00A047AB">
        <w:t>and are dismissed from further consideration in the PEIR</w:t>
      </w:r>
      <w:r w:rsidR="009305D0">
        <w:t xml:space="preserve"> are listed as follows</w:t>
      </w:r>
      <w:r w:rsidR="00C751AD">
        <w:t>:</w:t>
      </w:r>
      <w:r w:rsidR="009305D0">
        <w:t xml:space="preserve"> </w:t>
      </w:r>
    </w:p>
    <w:p w14:paraId="52F4D6A4" w14:textId="4FB71161" w:rsidR="009305D0" w:rsidRDefault="009305D0" w:rsidP="00A047AB">
      <w:pPr>
        <w:pStyle w:val="Bullet1"/>
      </w:pPr>
      <w:r>
        <w:t>Non-Vegetation Management Alternatives</w:t>
      </w:r>
      <w:r w:rsidR="00C751AD">
        <w:t>;</w:t>
      </w:r>
    </w:p>
    <w:p w14:paraId="15DB44AC" w14:textId="3D228F8E" w:rsidR="009305D0" w:rsidRDefault="009305D0" w:rsidP="00A047AB">
      <w:pPr>
        <w:pStyle w:val="Bullet1"/>
      </w:pPr>
      <w:r>
        <w:t>Defensible Space Focus</w:t>
      </w:r>
      <w:r w:rsidR="00C751AD">
        <w:t>;</w:t>
      </w:r>
    </w:p>
    <w:p w14:paraId="17E62DF6" w14:textId="71EA01D7" w:rsidR="009305D0" w:rsidRDefault="009305D0" w:rsidP="00A047AB">
      <w:pPr>
        <w:pStyle w:val="Bullet1"/>
      </w:pPr>
      <w:r>
        <w:t>Electric Utility Focus</w:t>
      </w:r>
      <w:r w:rsidR="00C751AD">
        <w:t>;</w:t>
      </w:r>
    </w:p>
    <w:p w14:paraId="747E0809" w14:textId="2CAEB986" w:rsidR="009305D0" w:rsidRPr="006843D8" w:rsidRDefault="009305D0" w:rsidP="00A047AB">
      <w:pPr>
        <w:pStyle w:val="Bullet1"/>
      </w:pPr>
      <w:r w:rsidRPr="006843D8">
        <w:t xml:space="preserve">Alternatives Evaluated in the 2017 </w:t>
      </w:r>
      <w:r>
        <w:t xml:space="preserve">Draft </w:t>
      </w:r>
      <w:r w:rsidRPr="006843D8">
        <w:t xml:space="preserve">VTP </w:t>
      </w:r>
      <w:r>
        <w:t>P</w:t>
      </w:r>
      <w:r w:rsidRPr="006843D8">
        <w:t>EIR</w:t>
      </w:r>
      <w:r w:rsidR="00C751AD">
        <w:t>; and</w:t>
      </w:r>
    </w:p>
    <w:p w14:paraId="22074106" w14:textId="60CB447F" w:rsidR="009305D0" w:rsidRDefault="009305D0" w:rsidP="00A047AB">
      <w:pPr>
        <w:pStyle w:val="Bullet1"/>
      </w:pPr>
      <w:r w:rsidRPr="00E16B66">
        <w:t xml:space="preserve">Alternatives Dismissed in the 2017 </w:t>
      </w:r>
      <w:r>
        <w:t xml:space="preserve">Draft </w:t>
      </w:r>
      <w:r w:rsidRPr="00E16B66">
        <w:t xml:space="preserve">VTP </w:t>
      </w:r>
      <w:r>
        <w:t>P</w:t>
      </w:r>
      <w:r w:rsidRPr="00E16B66">
        <w:t>EIR</w:t>
      </w:r>
      <w:r w:rsidR="00A047AB">
        <w:t>:</w:t>
      </w:r>
    </w:p>
    <w:p w14:paraId="0B56517C" w14:textId="77777777" w:rsidR="009305D0" w:rsidRDefault="009305D0" w:rsidP="00A047AB">
      <w:pPr>
        <w:pStyle w:val="Bullet2"/>
      </w:pPr>
      <w:r>
        <w:t>reduced acreage,</w:t>
      </w:r>
    </w:p>
    <w:p w14:paraId="0980AE68" w14:textId="77777777" w:rsidR="009305D0" w:rsidRDefault="009305D0" w:rsidP="00A047AB">
      <w:pPr>
        <w:pStyle w:val="Bullet2"/>
      </w:pPr>
      <w:r>
        <w:t>Highly Constrained – WUI and VHFHSZ,</w:t>
      </w:r>
    </w:p>
    <w:p w14:paraId="28AF93A4" w14:textId="77777777" w:rsidR="009305D0" w:rsidRDefault="009305D0" w:rsidP="00A047AB">
      <w:pPr>
        <w:pStyle w:val="Bullet2"/>
      </w:pPr>
      <w:r>
        <w:t>Limiting Treatment to Areas with High Incidence of Wildfires,</w:t>
      </w:r>
    </w:p>
    <w:p w14:paraId="72BFB578" w14:textId="77777777" w:rsidR="009305D0" w:rsidRDefault="009305D0" w:rsidP="00A047AB">
      <w:pPr>
        <w:pStyle w:val="Bullet2"/>
      </w:pPr>
      <w:r>
        <w:t>High Acres in the WUI Only,</w:t>
      </w:r>
    </w:p>
    <w:p w14:paraId="3FA1B3F4" w14:textId="77777777" w:rsidR="009305D0" w:rsidRDefault="009305D0" w:rsidP="00A047AB">
      <w:pPr>
        <w:pStyle w:val="Bullet2"/>
      </w:pPr>
      <w:r>
        <w:lastRenderedPageBreak/>
        <w:t>Focusing on Areas of Historical Use of Treatments,</w:t>
      </w:r>
    </w:p>
    <w:p w14:paraId="39817F1E" w14:textId="77777777" w:rsidR="009305D0" w:rsidRDefault="009305D0" w:rsidP="00A047AB">
      <w:pPr>
        <w:pStyle w:val="Bullet2"/>
      </w:pPr>
      <w:r>
        <w:t>1,000 Foot WUI and Fuel Break Maintenance Only, and</w:t>
      </w:r>
    </w:p>
    <w:p w14:paraId="5D0AB1D7" w14:textId="0819D862" w:rsidR="009305D0" w:rsidRPr="00CB39E4" w:rsidRDefault="009305D0" w:rsidP="00A047AB">
      <w:pPr>
        <w:pStyle w:val="Bullet2"/>
      </w:pPr>
      <w:r>
        <w:t>Fire Return Interval Departure.</w:t>
      </w:r>
    </w:p>
    <w:p w14:paraId="1ACB694F" w14:textId="1C214F54" w:rsidR="00D25CE4" w:rsidRPr="00CB39E4" w:rsidRDefault="00D25CE4" w:rsidP="00D25CE4">
      <w:pPr>
        <w:pStyle w:val="Heading3"/>
      </w:pPr>
      <w:bookmarkStart w:id="38" w:name="_Toc480195418"/>
      <w:r w:rsidRPr="00CB39E4">
        <w:t>Environmentally</w:t>
      </w:r>
      <w:r w:rsidR="00A047AB">
        <w:t xml:space="preserve"> </w:t>
      </w:r>
      <w:r w:rsidRPr="00CB39E4">
        <w:t>Superior Alternative</w:t>
      </w:r>
      <w:bookmarkEnd w:id="38"/>
    </w:p>
    <w:p w14:paraId="337C935B" w14:textId="1A5E5E9E" w:rsidR="00A069CE" w:rsidRDefault="00A047AB" w:rsidP="00CB39E4">
      <w:pPr>
        <w:pStyle w:val="BodyText"/>
      </w:pPr>
      <w:bookmarkStart w:id="39" w:name="_Hlk11154992"/>
      <w:r>
        <w:t xml:space="preserve">With each alternative, there would be environmental tradeoffs; that is, impacts </w:t>
      </w:r>
      <w:r w:rsidR="00C751AD">
        <w:t xml:space="preserve">on </w:t>
      </w:r>
      <w:r>
        <w:t>certain resource areas from an alternative would increase while others would decrease relative to the proposed program. Additionally,</w:t>
      </w:r>
      <w:r w:rsidRPr="00AC5DD2">
        <w:t xml:space="preserve"> each alternative would result in significant and unavoidable impacts. </w:t>
      </w:r>
      <w:r>
        <w:t>The proposed program would achieve all the basic</w:t>
      </w:r>
      <w:r w:rsidRPr="007B3BA9">
        <w:t xml:space="preserve"> program objectives</w:t>
      </w:r>
      <w:r>
        <w:t xml:space="preserve"> but would result in potentially significant impacts and require the application of mitigation to reduce some, but not all, of the significant impacts to</w:t>
      </w:r>
      <w:r w:rsidR="00905D8F">
        <w:t xml:space="preserve"> a</w:t>
      </w:r>
      <w:r>
        <w:t xml:space="preserve"> less</w:t>
      </w:r>
      <w:r w:rsidR="00A069CE">
        <w:t>-</w:t>
      </w:r>
      <w:r>
        <w:t>than</w:t>
      </w:r>
      <w:r w:rsidR="00A069CE">
        <w:t>-</w:t>
      </w:r>
      <w:r>
        <w:t xml:space="preserve">significant level. The alternatives, particularly Alternative B: </w:t>
      </w:r>
      <w:r w:rsidRPr="00AC5DD2">
        <w:t>WUI Fuel Reduction Only</w:t>
      </w:r>
      <w:r>
        <w:t xml:space="preserve"> and Alternative D: </w:t>
      </w:r>
      <w:r w:rsidRPr="00AC5DD2">
        <w:t>No Prescribed Burning Treatments</w:t>
      </w:r>
      <w:r>
        <w:t>, would result in fewer potentially significant impacts for some resources and exacerbate impacts for other resources, but would not achieve the basic</w:t>
      </w:r>
      <w:r w:rsidRPr="007B3BA9">
        <w:t xml:space="preserve"> program objectives to the </w:t>
      </w:r>
      <w:r>
        <w:t xml:space="preserve">same </w:t>
      </w:r>
      <w:r w:rsidRPr="007B3BA9">
        <w:t>extent</w:t>
      </w:r>
      <w:r>
        <w:t xml:space="preserve"> as the proposed program. </w:t>
      </w:r>
    </w:p>
    <w:p w14:paraId="5B7EF19A" w14:textId="67689DDA" w:rsidR="00063DA3" w:rsidRDefault="00A047AB" w:rsidP="00CB39E4">
      <w:pPr>
        <w:pStyle w:val="BodyText"/>
      </w:pPr>
      <w:r>
        <w:t xml:space="preserve">In light of these tradeoffs among the alternatives and the proposed program, </w:t>
      </w:r>
      <w:r w:rsidR="00063DA3">
        <w:t>n</w:t>
      </w:r>
      <w:r>
        <w:t>one of the alternatives clearly stand</w:t>
      </w:r>
      <w:r w:rsidR="00063DA3">
        <w:t>s</w:t>
      </w:r>
      <w:r>
        <w:t xml:space="preserve"> out as environmentally superior. Identification of the environmentally superior alternative </w:t>
      </w:r>
      <w:r w:rsidR="00063DA3">
        <w:t>is</w:t>
      </w:r>
      <w:r w:rsidR="00F33F3D">
        <w:t>,</w:t>
      </w:r>
      <w:r w:rsidR="00063DA3" w:rsidRPr="00063DA3">
        <w:t xml:space="preserve"> </w:t>
      </w:r>
      <w:r w:rsidR="00063DA3">
        <w:t xml:space="preserve">therefore, not an objective choice based on quantifiable criteria, but rather, an exercise of discretion in balancing environmental priorities among potential impacts in relation to the extent to which the alternative would meet the program objectives. If the key criterion for identifying the environmentally superior alternative is avoiding significant and unavoidable impacts and priority is given to issues related to human health, Alternative D would become the environmentally superior alternative, because it would avoid a significant and unavoidable air quality impact of the proposed program related to </w:t>
      </w:r>
      <w:r w:rsidR="00063DA3" w:rsidRPr="00994742">
        <w:t xml:space="preserve">short-term exposure of people to </w:t>
      </w:r>
      <w:r w:rsidR="00063DA3">
        <w:t xml:space="preserve">toxic air contaminants during prescribed burning. </w:t>
      </w:r>
    </w:p>
    <w:p w14:paraId="17BE6FFF" w14:textId="77777777" w:rsidR="0061282F" w:rsidRDefault="0061282F" w:rsidP="0061282F">
      <w:pPr>
        <w:pStyle w:val="Heading2"/>
      </w:pPr>
      <w:bookmarkStart w:id="40" w:name="_Toc480195419"/>
      <w:bookmarkStart w:id="41" w:name="_Toc485802925"/>
      <w:bookmarkStart w:id="42" w:name="_Toc514146166"/>
      <w:bookmarkStart w:id="43" w:name="_Toc24009445"/>
      <w:bookmarkEnd w:id="39"/>
      <w:r>
        <w:t>Areas of Controversy and Issues to be Resolved</w:t>
      </w:r>
      <w:bookmarkEnd w:id="40"/>
      <w:bookmarkEnd w:id="41"/>
      <w:bookmarkEnd w:id="42"/>
      <w:bookmarkEnd w:id="43"/>
    </w:p>
    <w:p w14:paraId="203CC7F2" w14:textId="0942D852" w:rsidR="00191EEB" w:rsidRDefault="00905D8F" w:rsidP="00191EEB">
      <w:pPr>
        <w:pStyle w:val="BodyText"/>
      </w:pPr>
      <w:r>
        <w:t xml:space="preserve">The </w:t>
      </w:r>
      <w:r w:rsidR="00976DF2" w:rsidRPr="00976DF2">
        <w:t xml:space="preserve">NOP </w:t>
      </w:r>
      <w:r>
        <w:t xml:space="preserve">for </w:t>
      </w:r>
      <w:r w:rsidR="00B153F0">
        <w:t xml:space="preserve">the CalVTP PEIR </w:t>
      </w:r>
      <w:r w:rsidR="00976DF2" w:rsidRPr="00976DF2">
        <w:t xml:space="preserve">was distributed on </w:t>
      </w:r>
      <w:r w:rsidR="00B153F0">
        <w:t>January 30, 2019</w:t>
      </w:r>
      <w:r w:rsidR="009E24D0">
        <w:t>,</w:t>
      </w:r>
      <w:r w:rsidR="00B153F0">
        <w:t xml:space="preserve"> </w:t>
      </w:r>
      <w:r w:rsidR="00976DF2" w:rsidRPr="00976DF2">
        <w:t xml:space="preserve">to responsible agencies, interested parties, and organizations, as well as private organizations and individuals that may have an interest in the project. </w:t>
      </w:r>
      <w:r w:rsidR="00191EEB">
        <w:t>The Board held p</w:t>
      </w:r>
      <w:r w:rsidR="00976DF2">
        <w:t>ublic scoping meeting</w:t>
      </w:r>
      <w:r w:rsidR="00191EEB">
        <w:t xml:space="preserve">s </w:t>
      </w:r>
      <w:r w:rsidR="00976DF2">
        <w:t xml:space="preserve">on </w:t>
      </w:r>
      <w:r w:rsidR="00191EEB" w:rsidRPr="002A3EF6">
        <w:t>February 11 and 19,</w:t>
      </w:r>
      <w:r w:rsidR="00191EEB">
        <w:t xml:space="preserve"> and </w:t>
      </w:r>
      <w:r>
        <w:t xml:space="preserve">on </w:t>
      </w:r>
      <w:r w:rsidR="00191EEB">
        <w:t>March 18, 2019 to provide information on the proposed CalVTP and solicit public input on the scope and content of the PEIR</w:t>
      </w:r>
      <w:r w:rsidR="00976DF2">
        <w:t xml:space="preserve">. </w:t>
      </w:r>
    </w:p>
    <w:p w14:paraId="6C885D14" w14:textId="6F64A69B" w:rsidR="00FA4F95" w:rsidRPr="00191EEB" w:rsidRDefault="00905D8F" w:rsidP="00191EEB">
      <w:pPr>
        <w:pStyle w:val="BodyText"/>
      </w:pPr>
      <w:r>
        <w:t>The following e</w:t>
      </w:r>
      <w:r w:rsidR="00B6365A">
        <w:t>nvironmental</w:t>
      </w:r>
      <w:r w:rsidR="00B6365A" w:rsidRPr="00FA4F95">
        <w:t xml:space="preserve"> </w:t>
      </w:r>
      <w:r w:rsidR="00976DF2" w:rsidRPr="00FA4F95">
        <w:t xml:space="preserve">concerns and issues </w:t>
      </w:r>
      <w:r>
        <w:t xml:space="preserve">were </w:t>
      </w:r>
      <w:r w:rsidR="00273A27">
        <w:t xml:space="preserve">expressed most frequently </w:t>
      </w:r>
      <w:r w:rsidR="00FA4F95" w:rsidRPr="00FA4F95">
        <w:t>during the scoping process</w:t>
      </w:r>
      <w:r w:rsidR="00976DF2" w:rsidRPr="00FA4F95">
        <w:t>:</w:t>
      </w:r>
    </w:p>
    <w:p w14:paraId="01EB941F" w14:textId="7595E7FF" w:rsidR="00E74DE6" w:rsidRDefault="00E74DE6" w:rsidP="00191EEB">
      <w:pPr>
        <w:pStyle w:val="Bullet1"/>
      </w:pPr>
      <w:r>
        <w:t>Efficacy of wildland vegetation treatments at reducing fire risk in communities</w:t>
      </w:r>
      <w:r w:rsidR="00273A27">
        <w:t>, including from wind-driven fires</w:t>
      </w:r>
    </w:p>
    <w:p w14:paraId="082EF9B1" w14:textId="5ED3E456" w:rsidR="00191EEB" w:rsidRPr="00F56DE1" w:rsidRDefault="00191EEB" w:rsidP="00191EEB">
      <w:pPr>
        <w:pStyle w:val="Bullet1"/>
      </w:pPr>
      <w:r>
        <w:t>A</w:t>
      </w:r>
      <w:r w:rsidRPr="00F56DE1">
        <w:t>ir quality</w:t>
      </w:r>
      <w:r w:rsidR="00E74DE6">
        <w:t xml:space="preserve"> and public health </w:t>
      </w:r>
      <w:r>
        <w:t>impacts from prescribed burning</w:t>
      </w:r>
    </w:p>
    <w:p w14:paraId="58094A9A" w14:textId="03587C00" w:rsidR="00191EEB" w:rsidRDefault="00191EEB" w:rsidP="00191EEB">
      <w:pPr>
        <w:pStyle w:val="Bullet1"/>
      </w:pPr>
      <w:r w:rsidRPr="006E1AD8">
        <w:t>Impact</w:t>
      </w:r>
      <w:r w:rsidR="00E74DE6">
        <w:t>s</w:t>
      </w:r>
      <w:r w:rsidRPr="006E1AD8">
        <w:t xml:space="preserve"> </w:t>
      </w:r>
      <w:r w:rsidR="00905D8F">
        <w:t>on</w:t>
      </w:r>
      <w:r w:rsidR="00905D8F" w:rsidRPr="006E1AD8">
        <w:t xml:space="preserve"> </w:t>
      </w:r>
      <w:r w:rsidRPr="006E1AD8">
        <w:t xml:space="preserve">climate change and </w:t>
      </w:r>
      <w:r w:rsidR="00E74DE6">
        <w:t xml:space="preserve">carbon sequestration </w:t>
      </w:r>
      <w:r w:rsidR="00273A27">
        <w:t xml:space="preserve">from removal of vegetation by </w:t>
      </w:r>
      <w:r w:rsidR="00E74DE6">
        <w:t>vegetation treatments</w:t>
      </w:r>
      <w:r w:rsidR="00273A27">
        <w:t xml:space="preserve"> as well as wildfire</w:t>
      </w:r>
      <w:r w:rsidR="000868F0">
        <w:t xml:space="preserve"> </w:t>
      </w:r>
    </w:p>
    <w:p w14:paraId="751C88D7" w14:textId="7499D0DB" w:rsidR="00930187" w:rsidRDefault="00930187" w:rsidP="00930187">
      <w:pPr>
        <w:pStyle w:val="Bullet1"/>
      </w:pPr>
      <w:r>
        <w:t>Cumulative i</w:t>
      </w:r>
      <w:r w:rsidRPr="00F56DE1">
        <w:t xml:space="preserve">mpacts </w:t>
      </w:r>
      <w:r w:rsidR="00905D8F">
        <w:t>on</w:t>
      </w:r>
      <w:r w:rsidR="00905D8F" w:rsidRPr="00F56DE1">
        <w:t xml:space="preserve"> </w:t>
      </w:r>
      <w:r w:rsidRPr="00F56DE1">
        <w:t xml:space="preserve">chaparral </w:t>
      </w:r>
      <w:r>
        <w:t>and coastal sage scrub vegetation from vegetation treatments, prescribed burning</w:t>
      </w:r>
      <w:r w:rsidR="00D230DD">
        <w:t>,</w:t>
      </w:r>
      <w:r>
        <w:t xml:space="preserve"> and wildfires</w:t>
      </w:r>
    </w:p>
    <w:p w14:paraId="2C96692B" w14:textId="4BEE5EFD" w:rsidR="00930187" w:rsidRPr="00F56DE1" w:rsidRDefault="00930187" w:rsidP="00930187">
      <w:pPr>
        <w:pStyle w:val="Bullet1"/>
      </w:pPr>
      <w:bookmarkStart w:id="44" w:name="_Hlk11155013"/>
      <w:r>
        <w:t xml:space="preserve">Impacts </w:t>
      </w:r>
      <w:r w:rsidR="00905D8F">
        <w:t xml:space="preserve">on </w:t>
      </w:r>
      <w:r>
        <w:t>biological resources</w:t>
      </w:r>
      <w:r w:rsidR="00400C5B">
        <w:t xml:space="preserve"> from treatment activities</w:t>
      </w:r>
    </w:p>
    <w:bookmarkEnd w:id="44"/>
    <w:p w14:paraId="32782563" w14:textId="605CB921" w:rsidR="00273A27" w:rsidRDefault="00273A27" w:rsidP="00191EEB">
      <w:pPr>
        <w:pStyle w:val="Bullet1"/>
      </w:pPr>
      <w:r>
        <w:t xml:space="preserve">The process for environmental review of later treatment </w:t>
      </w:r>
      <w:r w:rsidR="00D230DD">
        <w:t xml:space="preserve">activities </w:t>
      </w:r>
      <w:r>
        <w:t>under the CalVTP</w:t>
      </w:r>
    </w:p>
    <w:p w14:paraId="1F97294D" w14:textId="57D77A6B" w:rsidR="00CB7060" w:rsidRDefault="00CB7060" w:rsidP="00191EEB">
      <w:pPr>
        <w:pStyle w:val="Bullet1"/>
      </w:pPr>
      <w:r>
        <w:t>Suggestions for alternatives to the CalVTP</w:t>
      </w:r>
    </w:p>
    <w:bookmarkEnd w:id="20"/>
    <w:p w14:paraId="27912E1D" w14:textId="2873B8B1" w:rsidR="00CB39E4" w:rsidRDefault="00FA2C71" w:rsidP="00CB39E4">
      <w:pPr>
        <w:pStyle w:val="BodyText"/>
      </w:pPr>
      <w:r w:rsidRPr="00191EEB">
        <w:t xml:space="preserve">These issues are addressed in this </w:t>
      </w:r>
      <w:r w:rsidR="00191EEB" w:rsidRPr="00191EEB">
        <w:t>P</w:t>
      </w:r>
      <w:r w:rsidRPr="00191EEB">
        <w:t>EIR.</w:t>
      </w:r>
      <w:r w:rsidR="00191EEB" w:rsidRPr="00191EEB">
        <w:t xml:space="preserve"> A summary</w:t>
      </w:r>
      <w:r w:rsidR="00191EEB">
        <w:t xml:space="preserve"> of comments received on the NOP and the location where each is addressed in the PEIR </w:t>
      </w:r>
      <w:r w:rsidR="00905D8F">
        <w:t xml:space="preserve">are </w:t>
      </w:r>
      <w:r w:rsidR="00191EEB">
        <w:t xml:space="preserve">presented in </w:t>
      </w:r>
      <w:r w:rsidR="00191EEB" w:rsidRPr="00976DF2">
        <w:t>Appendix A</w:t>
      </w:r>
      <w:r w:rsidR="00191EEB" w:rsidRPr="00FA4F95">
        <w:t>.</w:t>
      </w:r>
    </w:p>
    <w:p w14:paraId="76336675" w14:textId="78306806" w:rsidR="00FB0477" w:rsidRPr="00C07C7B" w:rsidRDefault="003060D2" w:rsidP="00FB0477">
      <w:pPr>
        <w:pStyle w:val="BodyText"/>
        <w:rPr>
          <w:strike/>
        </w:rPr>
      </w:pPr>
      <w:bookmarkStart w:id="45" w:name="_Hlk11155027"/>
      <w:r w:rsidRPr="00C07C7B">
        <w:rPr>
          <w:strike/>
        </w:rPr>
        <w:t xml:space="preserve">Consultation is ongoing pursuant to </w:t>
      </w:r>
      <w:r w:rsidR="00905D8F" w:rsidRPr="00C07C7B">
        <w:rPr>
          <w:strike/>
        </w:rPr>
        <w:t>PRC</w:t>
      </w:r>
      <w:r w:rsidRPr="00C07C7B">
        <w:rPr>
          <w:strike/>
        </w:rPr>
        <w:t xml:space="preserve"> Section 21080.3</w:t>
      </w:r>
      <w:r w:rsidR="00FB6A74" w:rsidRPr="00C07C7B">
        <w:rPr>
          <w:strike/>
        </w:rPr>
        <w:t xml:space="preserve"> regarding the potential for effects on tribal cultural resources</w:t>
      </w:r>
      <w:r w:rsidRPr="00C07C7B">
        <w:rPr>
          <w:strike/>
        </w:rPr>
        <w:t xml:space="preserve">. The consultation process may </w:t>
      </w:r>
      <w:r w:rsidR="00FB0477" w:rsidRPr="00C07C7B">
        <w:rPr>
          <w:strike/>
        </w:rPr>
        <w:t xml:space="preserve">identify potentially affected tribal cultural resources or result in refinements to mitigation measures. To account for this uncertainty while consultation is actively underway, this PEIR identifies impacts </w:t>
      </w:r>
      <w:r w:rsidR="00905D8F" w:rsidRPr="00C07C7B">
        <w:rPr>
          <w:strike/>
        </w:rPr>
        <w:t xml:space="preserve">on </w:t>
      </w:r>
      <w:r w:rsidR="00FB0477" w:rsidRPr="00C07C7B">
        <w:rPr>
          <w:strike/>
        </w:rPr>
        <w:t xml:space="preserve">tribal cultural resources as potentially significant, notwithstanding the likelihood that consultation may </w:t>
      </w:r>
      <w:r w:rsidR="00FB0477" w:rsidRPr="00C07C7B">
        <w:rPr>
          <w:strike/>
        </w:rPr>
        <w:lastRenderedPageBreak/>
        <w:t>result in an agreement among the parties to measures that mitigate or avoid a significant effect, if a significant effect exists, on a tribal cultural resource.</w:t>
      </w:r>
    </w:p>
    <w:p w14:paraId="6A4AC69D" w14:textId="77777777" w:rsidR="00841AD9" w:rsidRDefault="00841AD9" w:rsidP="0043054C">
      <w:pPr>
        <w:pStyle w:val="Heading2"/>
      </w:pPr>
      <w:bookmarkStart w:id="46" w:name="_Toc24009446"/>
      <w:bookmarkEnd w:id="45"/>
      <w:r>
        <w:t>Intended Uses of this PEIR</w:t>
      </w:r>
      <w:bookmarkEnd w:id="46"/>
    </w:p>
    <w:p w14:paraId="3868A576" w14:textId="77777777" w:rsidR="00FB6A74" w:rsidRDefault="00841AD9" w:rsidP="00841AD9">
      <w:pPr>
        <w:pStyle w:val="BodyText"/>
      </w:pPr>
      <w:r w:rsidRPr="00561D67">
        <w:t xml:space="preserve">According to the State CEQA Guidelines (Section 15064[f][1]), preparation of an EIR is required whenever a project may result in a significant environmental impact. </w:t>
      </w:r>
      <w:bookmarkStart w:id="47" w:name="_Hlk7679147"/>
      <w:r w:rsidRPr="00937192">
        <w:t xml:space="preserve">This document functions as a Program EIR in accordance with </w:t>
      </w:r>
      <w:r>
        <w:t xml:space="preserve">State </w:t>
      </w:r>
      <w:r w:rsidRPr="00937192">
        <w:t xml:space="preserve">CEQA Guidelines Section 15168(c) for streamlining </w:t>
      </w:r>
      <w:r>
        <w:t>later activities</w:t>
      </w:r>
      <w:r w:rsidRPr="00937192">
        <w:t xml:space="preserve">. </w:t>
      </w:r>
      <w:r w:rsidRPr="00112737">
        <w:t xml:space="preserve">According to Section 15168 of the State CEQA Guidelines, a Program EIR may be prepared on a series of actions that can be characterized as one large project and are related to, </w:t>
      </w:r>
      <w:r w:rsidRPr="00893D5B">
        <w:t>among other things, the issuance of general criteria to govern the conduct of a continuing program or individual activities carried out under the same authorizing statutory or regulatory authority, and having generally similar environmental effects that can be mitigated in similar ways</w:t>
      </w:r>
      <w:r>
        <w:t>.</w:t>
      </w:r>
      <w:r w:rsidRPr="00893D5B">
        <w:t xml:space="preserve"> </w:t>
      </w:r>
    </w:p>
    <w:p w14:paraId="13306661" w14:textId="29B33AA6" w:rsidR="00841AD9" w:rsidRDefault="00FB6A74" w:rsidP="00841AD9">
      <w:pPr>
        <w:pStyle w:val="BodyText"/>
      </w:pPr>
      <w:r>
        <w:t>For</w:t>
      </w:r>
      <w:r w:rsidRPr="00841AD9">
        <w:t xml:space="preserve"> </w:t>
      </w:r>
      <w:r>
        <w:t>the purposes of this PEIR</w:t>
      </w:r>
      <w:r w:rsidRPr="00841AD9">
        <w:t xml:space="preserve"> </w:t>
      </w:r>
      <w:r>
        <w:t xml:space="preserve">a “project proponent” </w:t>
      </w:r>
      <w:r w:rsidR="00B37808">
        <w:t>is</w:t>
      </w:r>
      <w:r>
        <w:t xml:space="preserve"> </w:t>
      </w:r>
      <w:r w:rsidRPr="00C07C7B">
        <w:rPr>
          <w:strike/>
        </w:rPr>
        <w:t>be</w:t>
      </w:r>
      <w:r w:rsidR="00E35616" w:rsidRPr="00C07C7B">
        <w:rPr>
          <w:rFonts w:eastAsia="Times New Roman"/>
          <w:u w:val="single"/>
        </w:rPr>
        <w:t>a public agency providing funding for vegetation treatment or with land ownership, land management, or other regulatory responsibility in the treatable landscape and seeking to implement vegetation treatments consistent with this PEIR for CEQA compliance</w:t>
      </w:r>
      <w:r w:rsidR="00C07C7B">
        <w:rPr>
          <w:rFonts w:eastAsia="Times New Roman"/>
          <w:u w:val="single"/>
        </w:rPr>
        <w:t xml:space="preserve"> </w:t>
      </w:r>
      <w:r w:rsidRPr="00C07C7B">
        <w:rPr>
          <w:strike/>
        </w:rPr>
        <w:t>CAL FIRE or a</w:t>
      </w:r>
      <w:r w:rsidR="00BD736E" w:rsidRPr="00C07C7B">
        <w:rPr>
          <w:strike/>
        </w:rPr>
        <w:t>nother</w:t>
      </w:r>
      <w:r w:rsidRPr="00C07C7B">
        <w:rPr>
          <w:strike/>
        </w:rPr>
        <w:t xml:space="preserve"> public agency funded by CAL FIRE grants or with land ownership and/or management responsibilities in the treatable landscape that is seeking to implement vegetation treatments consistent with the CalVTP, using the PEIR for CEQA compliance</w:t>
      </w:r>
      <w:r>
        <w:t xml:space="preserve">. </w:t>
      </w:r>
      <w:r w:rsidR="00841AD9">
        <w:t xml:space="preserve">CAL FIRE or other project proponents must evaluate the later activities associated with each vegetation treatment project to determine whether such activities have been analyzed in this PEIR. Such evaluations must ascertain whether these future vegetation treatment projects are consistent with the activities contained in the CalVTP and would have effects that were analyzed in the PEIR. </w:t>
      </w:r>
      <w:r w:rsidR="00841AD9" w:rsidRPr="002456FF">
        <w:t xml:space="preserve">If </w:t>
      </w:r>
      <w:r w:rsidR="00841AD9">
        <w:t>the project proponent</w:t>
      </w:r>
      <w:r>
        <w:t xml:space="preserve"> </w:t>
      </w:r>
      <w:r w:rsidR="00841AD9" w:rsidRPr="002456FF">
        <w:t>finds that</w:t>
      </w:r>
      <w:r w:rsidR="00841AD9">
        <w:t xml:space="preserve"> the impacts were analyzed in the PEIR and </w:t>
      </w:r>
      <w:r w:rsidR="00841AD9" w:rsidRPr="002456FF">
        <w:t xml:space="preserve">no new </w:t>
      </w:r>
      <w:r w:rsidR="00841AD9">
        <w:t xml:space="preserve">or substantially more severe significant </w:t>
      </w:r>
      <w:r w:rsidR="00841AD9" w:rsidRPr="002456FF">
        <w:t xml:space="preserve">effects could occur or no new mitigation measures would be required </w:t>
      </w:r>
      <w:r w:rsidR="00841AD9">
        <w:t>for</w:t>
      </w:r>
      <w:r w:rsidR="00841AD9" w:rsidRPr="002456FF">
        <w:t xml:space="preserve"> a subsequent </w:t>
      </w:r>
      <w:r w:rsidR="00841AD9">
        <w:t xml:space="preserve">treatment </w:t>
      </w:r>
      <w:r w:rsidR="00841AD9" w:rsidRPr="002456FF">
        <w:t xml:space="preserve">project, the </w:t>
      </w:r>
      <w:r w:rsidR="00841AD9">
        <w:t>project</w:t>
      </w:r>
      <w:r w:rsidR="00841AD9" w:rsidRPr="002456FF">
        <w:t xml:space="preserve"> can be</w:t>
      </w:r>
      <w:r w:rsidR="00841AD9">
        <w:t xml:space="preserve"> found to be</w:t>
      </w:r>
      <w:r w:rsidR="00841AD9" w:rsidRPr="002456FF">
        <w:t xml:space="preserve"> within the scope of this PEIR</w:t>
      </w:r>
      <w:r w:rsidR="00841AD9">
        <w:t xml:space="preserve">. In this circumstance, </w:t>
      </w:r>
      <w:r w:rsidR="00841AD9" w:rsidRPr="002456FF">
        <w:t xml:space="preserve">no </w:t>
      </w:r>
      <w:r w:rsidR="00841AD9">
        <w:t>additional CEQA documentation would need to be prepared or publicly circulated (</w:t>
      </w:r>
      <w:r w:rsidR="00841AD9" w:rsidRPr="002456FF">
        <w:t>State CEQA Guidelines</w:t>
      </w:r>
      <w:r w:rsidR="00841AD9" w:rsidRPr="00B8216C">
        <w:t xml:space="preserve"> </w:t>
      </w:r>
      <w:r w:rsidR="00841AD9" w:rsidRPr="002456FF">
        <w:t>Section 1516</w:t>
      </w:r>
      <w:r w:rsidR="00841AD9">
        <w:t>8[c][2] and [4]). The documentation used to substantiate the “within the scope” finding would provide the substantial evidence required to reach that conclusion.</w:t>
      </w:r>
      <w:r w:rsidR="00841AD9" w:rsidRPr="002456FF">
        <w:t xml:space="preserve"> </w:t>
      </w:r>
      <w:r w:rsidR="00841AD9">
        <w:t>For the CalVTP, this documentation would be completion of the Project</w:t>
      </w:r>
      <w:r w:rsidR="003C4127">
        <w:t>-s</w:t>
      </w:r>
      <w:r w:rsidR="00841AD9">
        <w:t>pecific Analysis checklist and provision of supporting studies</w:t>
      </w:r>
      <w:r w:rsidR="008E5DEB">
        <w:t xml:space="preserve"> (see Appendix PD-3 of this PEIR)</w:t>
      </w:r>
      <w:r w:rsidR="00841AD9">
        <w:t xml:space="preserve">. The project proponent may act on the proposed later activity using this documentation and the PEIR for CEQA compliance purposes. If the later activity is approved, the project proponent would file a Notice of Determination. </w:t>
      </w:r>
    </w:p>
    <w:p w14:paraId="42D44E16" w14:textId="69F83652" w:rsidR="00841AD9" w:rsidRDefault="00841AD9" w:rsidP="00841AD9">
      <w:pPr>
        <w:pStyle w:val="BodyText"/>
      </w:pPr>
      <w:r w:rsidRPr="002456FF">
        <w:t xml:space="preserve">Under this CEQA compliance approach, </w:t>
      </w:r>
      <w:r>
        <w:t>a project proponent</w:t>
      </w:r>
      <w:r w:rsidRPr="002456FF">
        <w:t xml:space="preserve"> must incorporate all </w:t>
      </w:r>
      <w:r>
        <w:t xml:space="preserve">standard </w:t>
      </w:r>
      <w:r w:rsidRPr="002456FF">
        <w:t xml:space="preserve">project requirements relevant to the proposed </w:t>
      </w:r>
      <w:r>
        <w:t>activity</w:t>
      </w:r>
      <w:r w:rsidRPr="002456FF">
        <w:t xml:space="preserve"> and all feasible mitigation measures from the PEIR into the </w:t>
      </w:r>
      <w:r>
        <w:t>later activity</w:t>
      </w:r>
      <w:r w:rsidRPr="002456FF">
        <w:t xml:space="preserve">, as needed, to address significant or potentially significant effects on the environment. </w:t>
      </w:r>
      <w:r w:rsidRPr="00E11DE3">
        <w:rPr>
          <w:rFonts w:cs="Segoe UI Semilight"/>
        </w:rPr>
        <w:t xml:space="preserve">A </w:t>
      </w:r>
      <w:r>
        <w:rPr>
          <w:rFonts w:cs="Segoe UI Semilight"/>
        </w:rPr>
        <w:t>“</w:t>
      </w:r>
      <w:r w:rsidRPr="00E11DE3">
        <w:rPr>
          <w:rFonts w:cs="Segoe UI Semilight"/>
        </w:rPr>
        <w:t>within the scope</w:t>
      </w:r>
      <w:r>
        <w:rPr>
          <w:rFonts w:cs="Segoe UI Semilight"/>
        </w:rPr>
        <w:t>”</w:t>
      </w:r>
      <w:r w:rsidRPr="00E11DE3">
        <w:rPr>
          <w:rFonts w:cs="Segoe UI Semilight"/>
        </w:rPr>
        <w:t xml:space="preserve"> finding for later activities would facilitate an increase in the pace and scale of project approvals in a manner that includes environmental protections. </w:t>
      </w:r>
      <w:r>
        <w:t xml:space="preserve">If </w:t>
      </w:r>
      <w:r w:rsidRPr="008C76CB">
        <w:t xml:space="preserve">a proposed project is not within the scope of </w:t>
      </w:r>
      <w:r>
        <w:t xml:space="preserve">this </w:t>
      </w:r>
      <w:r w:rsidRPr="008C76CB">
        <w:t>CalVTP PEIR, then the project proponent may serve as a lead agency in the preparation of additional environmental documentation that accompanies the PEIR for CEQA compliance or in the conduct of a separate, independent CEQA review and documentation process. If a later EIR is prepared, it could be limited in its scope to the new or substantially more severe significant impact and could</w:t>
      </w:r>
      <w:r>
        <w:t xml:space="preserve"> </w:t>
      </w:r>
      <w:r w:rsidRPr="008C76CB">
        <w:t xml:space="preserve">require additional CEQA documentation, as directed by </w:t>
      </w:r>
      <w:r>
        <w:t xml:space="preserve">State </w:t>
      </w:r>
      <w:r w:rsidRPr="008C76CB">
        <w:t xml:space="preserve">CEQA Guidelines Sections 15162. 15163, and 15168. Pursuant to </w:t>
      </w:r>
      <w:r>
        <w:t xml:space="preserve">State </w:t>
      </w:r>
      <w:r w:rsidRPr="008C76CB">
        <w:t>CEQA Guidelines Section 15168(d), a later negative declaration could be prepared if the new impact would be less than significant or mitigated negative declaration</w:t>
      </w:r>
      <w:r>
        <w:t xml:space="preserve"> could be prepared</w:t>
      </w:r>
      <w:r w:rsidRPr="008C76CB">
        <w:t xml:space="preserve"> if the new impact could be clearly mitigated to less than significan</w:t>
      </w:r>
      <w:r>
        <w:t>t</w:t>
      </w:r>
      <w:r w:rsidRPr="008C76CB">
        <w:t>.</w:t>
      </w:r>
      <w:r>
        <w:t xml:space="preserve"> If a new or substantially more severe significant effect could not be clearly mitigated to less than significant, an EIR would be prepared that would focus on the new or substantially more severe significant impact(s). </w:t>
      </w:r>
    </w:p>
    <w:bookmarkEnd w:id="47"/>
    <w:p w14:paraId="1D020828" w14:textId="6BEFD1A6" w:rsidR="00841AD9" w:rsidRPr="00FA2C71" w:rsidRDefault="00841AD9" w:rsidP="00CB39E4">
      <w:pPr>
        <w:pStyle w:val="BodyText"/>
        <w:sectPr w:rsidR="00841AD9" w:rsidRPr="00FA2C71" w:rsidSect="00DA4CD6">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576" w:footer="576" w:gutter="0"/>
          <w:pgNumType w:chapStyle="1"/>
          <w:cols w:space="720"/>
          <w:titlePg/>
          <w:docGrid w:linePitch="360"/>
        </w:sectPr>
      </w:pPr>
    </w:p>
    <w:tbl>
      <w:tblPr>
        <w:tblW w:w="13680" w:type="dxa"/>
        <w:jc w:val="center"/>
        <w:tblBorders>
          <w:bottom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5856"/>
        <w:gridCol w:w="993"/>
        <w:gridCol w:w="5893"/>
        <w:gridCol w:w="938"/>
      </w:tblGrid>
      <w:tr w:rsidR="008F21B9" w:rsidRPr="00926491" w14:paraId="6D39387E" w14:textId="77777777" w:rsidTr="002B7098">
        <w:trPr>
          <w:tblHeader/>
          <w:jc w:val="center"/>
        </w:trPr>
        <w:tc>
          <w:tcPr>
            <w:tcW w:w="13680" w:type="dxa"/>
            <w:gridSpan w:val="4"/>
            <w:tcBorders>
              <w:top w:val="nil"/>
              <w:bottom w:val="single" w:sz="4" w:space="0" w:color="auto"/>
            </w:tcBorders>
            <w:shd w:val="clear" w:color="auto" w:fill="auto"/>
          </w:tcPr>
          <w:p w14:paraId="6907D9BE" w14:textId="3AE182C2" w:rsidR="008831C5" w:rsidRPr="00926491" w:rsidRDefault="008F21B9" w:rsidP="006B7554">
            <w:pPr>
              <w:pStyle w:val="TableHeader"/>
              <w:rPr>
                <w:b/>
              </w:rPr>
            </w:pPr>
            <w:bookmarkStart w:id="48" w:name="_Toc478994895"/>
            <w:bookmarkStart w:id="49" w:name="_Toc485803805"/>
            <w:bookmarkStart w:id="50" w:name="_Toc525649187"/>
            <w:bookmarkStart w:id="51" w:name="_Toc24009447"/>
            <w:r w:rsidRPr="00926491">
              <w:lastRenderedPageBreak/>
              <w:t xml:space="preserve">Table </w:t>
            </w:r>
            <w:r w:rsidR="00820017" w:rsidRPr="00926491">
              <w:t>ES</w:t>
            </w:r>
            <w:r w:rsidRPr="00926491">
              <w:t>-1</w:t>
            </w:r>
            <w:r w:rsidRPr="00926491">
              <w:tab/>
              <w:t>Summary of Impacts and Mitigation Measures</w:t>
            </w:r>
            <w:bookmarkEnd w:id="48"/>
            <w:bookmarkEnd w:id="49"/>
            <w:bookmarkEnd w:id="50"/>
            <w:bookmarkEnd w:id="51"/>
          </w:p>
        </w:tc>
      </w:tr>
      <w:tr w:rsidR="002025B4" w:rsidRPr="00CA23A9" w14:paraId="7275ED92" w14:textId="77777777" w:rsidTr="002B7098">
        <w:trPr>
          <w:tblHeader/>
          <w:jc w:val="center"/>
        </w:trPr>
        <w:tc>
          <w:tcPr>
            <w:tcW w:w="5856" w:type="dxa"/>
            <w:tcBorders>
              <w:top w:val="single" w:sz="4" w:space="0" w:color="auto"/>
              <w:bottom w:val="single" w:sz="4" w:space="0" w:color="auto"/>
            </w:tcBorders>
            <w:shd w:val="clear" w:color="auto" w:fill="D9D9D9" w:themeFill="background1" w:themeFillShade="D9"/>
            <w:vAlign w:val="center"/>
          </w:tcPr>
          <w:p w14:paraId="47393E3F" w14:textId="77777777" w:rsidR="002025B4" w:rsidRPr="00CA23A9" w:rsidRDefault="002025B4" w:rsidP="00CA23A9">
            <w:pPr>
              <w:pStyle w:val="TableColumn"/>
            </w:pPr>
            <w:r w:rsidRPr="00CA23A9">
              <w:t>Impacts</w:t>
            </w:r>
          </w:p>
        </w:tc>
        <w:tc>
          <w:tcPr>
            <w:tcW w:w="993" w:type="dxa"/>
            <w:tcBorders>
              <w:top w:val="single" w:sz="4" w:space="0" w:color="auto"/>
              <w:bottom w:val="single" w:sz="4" w:space="0" w:color="auto"/>
            </w:tcBorders>
            <w:shd w:val="clear" w:color="auto" w:fill="D9D9D9" w:themeFill="background1" w:themeFillShade="D9"/>
            <w:vAlign w:val="center"/>
          </w:tcPr>
          <w:p w14:paraId="7A15D61E" w14:textId="77777777" w:rsidR="002025B4" w:rsidRPr="00CA23A9" w:rsidRDefault="002025B4" w:rsidP="00CA23A9">
            <w:pPr>
              <w:pStyle w:val="TableColumn"/>
            </w:pPr>
            <w:r w:rsidRPr="00CA23A9">
              <w:t>Significance before Mitigation</w:t>
            </w:r>
          </w:p>
        </w:tc>
        <w:tc>
          <w:tcPr>
            <w:tcW w:w="5893" w:type="dxa"/>
            <w:tcBorders>
              <w:top w:val="single" w:sz="4" w:space="0" w:color="auto"/>
              <w:bottom w:val="single" w:sz="4" w:space="0" w:color="auto"/>
            </w:tcBorders>
            <w:shd w:val="clear" w:color="auto" w:fill="D9D9D9" w:themeFill="background1" w:themeFillShade="D9"/>
            <w:vAlign w:val="center"/>
          </w:tcPr>
          <w:p w14:paraId="32C437EF" w14:textId="77777777" w:rsidR="002025B4" w:rsidRPr="00CA23A9" w:rsidRDefault="002025B4" w:rsidP="00CA23A9">
            <w:pPr>
              <w:pStyle w:val="TableColumn"/>
            </w:pPr>
            <w:r w:rsidRPr="00CA23A9">
              <w:t>Mitigation Measures</w:t>
            </w:r>
          </w:p>
        </w:tc>
        <w:tc>
          <w:tcPr>
            <w:tcW w:w="938" w:type="dxa"/>
            <w:tcBorders>
              <w:top w:val="single" w:sz="4" w:space="0" w:color="auto"/>
              <w:bottom w:val="single" w:sz="4" w:space="0" w:color="auto"/>
            </w:tcBorders>
            <w:shd w:val="clear" w:color="auto" w:fill="D9D9D9" w:themeFill="background1" w:themeFillShade="D9"/>
            <w:vAlign w:val="center"/>
          </w:tcPr>
          <w:p w14:paraId="2CA28931" w14:textId="77777777" w:rsidR="002025B4" w:rsidRPr="00CA23A9" w:rsidRDefault="002025B4" w:rsidP="00CA23A9">
            <w:pPr>
              <w:pStyle w:val="TableColumn"/>
            </w:pPr>
            <w:r w:rsidRPr="00CA23A9">
              <w:t>Significance after Mitigation</w:t>
            </w:r>
          </w:p>
        </w:tc>
      </w:tr>
      <w:tr w:rsidR="00FB0472" w:rsidRPr="00CA23A9" w14:paraId="2495AACA" w14:textId="77777777" w:rsidTr="002B7098">
        <w:trPr>
          <w:tblHeader/>
          <w:jc w:val="center"/>
        </w:trPr>
        <w:tc>
          <w:tcPr>
            <w:tcW w:w="13680" w:type="dxa"/>
            <w:gridSpan w:val="4"/>
            <w:tcBorders>
              <w:bottom w:val="single" w:sz="4" w:space="0" w:color="auto"/>
            </w:tcBorders>
            <w:shd w:val="clear" w:color="auto" w:fill="D9D9D9" w:themeFill="background1" w:themeFillShade="D9"/>
          </w:tcPr>
          <w:p w14:paraId="53A96507" w14:textId="7FF057AA" w:rsidR="00FB0472" w:rsidRPr="00CA23A9" w:rsidRDefault="00FB0472" w:rsidP="00CA23A9">
            <w:pPr>
              <w:pStyle w:val="TableColumn"/>
            </w:pPr>
            <w:r w:rsidRPr="00CA23A9">
              <w:t>NI = No impact</w:t>
            </w:r>
            <w:r w:rsidRPr="00CA23A9">
              <w:tab/>
              <w:t>LTS = Less than significant</w:t>
            </w:r>
            <w:r w:rsidRPr="00CA23A9">
              <w:tab/>
              <w:t>PS = Potentially significant</w:t>
            </w:r>
            <w:r w:rsidRPr="00CA23A9">
              <w:tab/>
            </w:r>
            <w:r w:rsidR="005725EF" w:rsidRPr="00CA23A9">
              <w:t>LTS</w:t>
            </w:r>
            <w:r w:rsidR="005725EF">
              <w:t>M</w:t>
            </w:r>
            <w:r w:rsidR="005725EF" w:rsidRPr="00CA23A9">
              <w:t xml:space="preserve"> = Less than significant</w:t>
            </w:r>
            <w:r w:rsidR="005725EF">
              <w:t xml:space="preserve"> with </w:t>
            </w:r>
            <w:r w:rsidR="009B3F20">
              <w:t>m</w:t>
            </w:r>
            <w:r w:rsidR="00D029BC">
              <w:t>itigation</w:t>
            </w:r>
            <w:r w:rsidR="00F71CA5">
              <w:tab/>
            </w:r>
            <w:r w:rsidRPr="00CA23A9">
              <w:t>SU = Significant and unavoidable</w:t>
            </w:r>
          </w:p>
        </w:tc>
      </w:tr>
      <w:tr w:rsidR="00A70F83" w:rsidRPr="005B3573" w14:paraId="3496988F" w14:textId="77777777" w:rsidTr="002B7098">
        <w:trPr>
          <w:jc w:val="center"/>
        </w:trPr>
        <w:tc>
          <w:tcPr>
            <w:tcW w:w="5856" w:type="dxa"/>
            <w:tcBorders>
              <w:top w:val="single" w:sz="4" w:space="0" w:color="auto"/>
              <w:right w:val="nil"/>
            </w:tcBorders>
            <w:shd w:val="clear" w:color="auto" w:fill="F2F2F2" w:themeFill="background1" w:themeFillShade="F2"/>
          </w:tcPr>
          <w:p w14:paraId="6A50B26B" w14:textId="2AB14ABD" w:rsidR="00A70F83" w:rsidRPr="00931675" w:rsidRDefault="00A70F83" w:rsidP="005A215E">
            <w:pPr>
              <w:pStyle w:val="TableTextL"/>
              <w:keepNext/>
              <w:rPr>
                <w:b/>
              </w:rPr>
            </w:pPr>
            <w:r w:rsidRPr="00931675">
              <w:rPr>
                <w:b/>
              </w:rPr>
              <w:t>Aesthetics</w:t>
            </w:r>
            <w:r w:rsidR="003B768A" w:rsidRPr="00931675">
              <w:rPr>
                <w:b/>
              </w:rPr>
              <w:t xml:space="preserve"> and Visual Resources</w:t>
            </w:r>
          </w:p>
        </w:tc>
        <w:tc>
          <w:tcPr>
            <w:tcW w:w="993" w:type="dxa"/>
            <w:tcBorders>
              <w:top w:val="single" w:sz="4" w:space="0" w:color="auto"/>
              <w:left w:val="nil"/>
              <w:right w:val="nil"/>
            </w:tcBorders>
            <w:shd w:val="clear" w:color="auto" w:fill="F2F2F2" w:themeFill="background1" w:themeFillShade="F2"/>
          </w:tcPr>
          <w:p w14:paraId="34D99793" w14:textId="77777777" w:rsidR="00A70F83" w:rsidRPr="005B3573" w:rsidRDefault="00A70F83" w:rsidP="005A215E">
            <w:pPr>
              <w:pStyle w:val="TableTextL"/>
              <w:keepNext/>
              <w:jc w:val="center"/>
              <w:rPr>
                <w:b/>
              </w:rPr>
            </w:pPr>
          </w:p>
        </w:tc>
        <w:tc>
          <w:tcPr>
            <w:tcW w:w="5893" w:type="dxa"/>
            <w:tcBorders>
              <w:top w:val="single" w:sz="4" w:space="0" w:color="auto"/>
              <w:left w:val="nil"/>
              <w:right w:val="nil"/>
            </w:tcBorders>
            <w:shd w:val="clear" w:color="auto" w:fill="F2F2F2" w:themeFill="background1" w:themeFillShade="F2"/>
          </w:tcPr>
          <w:p w14:paraId="1A98C10A" w14:textId="77777777" w:rsidR="00A70F83" w:rsidRPr="005B3573" w:rsidRDefault="00A70F83" w:rsidP="00162F5B">
            <w:pPr>
              <w:pStyle w:val="TableTextL"/>
              <w:keepNext/>
              <w:rPr>
                <w:b/>
              </w:rPr>
            </w:pPr>
          </w:p>
        </w:tc>
        <w:tc>
          <w:tcPr>
            <w:tcW w:w="938" w:type="dxa"/>
            <w:tcBorders>
              <w:top w:val="single" w:sz="4" w:space="0" w:color="auto"/>
              <w:left w:val="nil"/>
            </w:tcBorders>
            <w:shd w:val="clear" w:color="auto" w:fill="F2F2F2" w:themeFill="background1" w:themeFillShade="F2"/>
          </w:tcPr>
          <w:p w14:paraId="71325FEA" w14:textId="77777777" w:rsidR="00A70F83" w:rsidRPr="005B3573" w:rsidRDefault="00A70F83" w:rsidP="005A215E">
            <w:pPr>
              <w:pStyle w:val="TableTextL"/>
              <w:keepNext/>
              <w:jc w:val="center"/>
              <w:rPr>
                <w:b/>
              </w:rPr>
            </w:pPr>
          </w:p>
        </w:tc>
      </w:tr>
      <w:tr w:rsidR="00A70F83" w:rsidRPr="005B3573" w14:paraId="021AD2F2" w14:textId="77777777" w:rsidTr="002B7098">
        <w:trPr>
          <w:jc w:val="center"/>
        </w:trPr>
        <w:tc>
          <w:tcPr>
            <w:tcW w:w="5856" w:type="dxa"/>
          </w:tcPr>
          <w:p w14:paraId="3164604E" w14:textId="77777777" w:rsidR="00342DB8" w:rsidRPr="00342DB8" w:rsidRDefault="00342DB8" w:rsidP="00342DB8">
            <w:pPr>
              <w:pStyle w:val="TableTextL"/>
              <w:rPr>
                <w:b/>
              </w:rPr>
            </w:pPr>
            <w:r w:rsidRPr="00342DB8">
              <w:rPr>
                <w:b/>
              </w:rPr>
              <w:t>Impact AES-1: Result in Short-Term, Substantial Degradation of a Scenic Vista or Visual Character or Quality of Public Views, or Damage to Scenic Resources in a State Scenic Highway from Treatment Activities</w:t>
            </w:r>
          </w:p>
          <w:p w14:paraId="106765DE" w14:textId="72CF563E" w:rsidR="00A70F83" w:rsidRPr="00342DB8" w:rsidRDefault="00342DB8" w:rsidP="00342DB8">
            <w:pPr>
              <w:pStyle w:val="TableTextL"/>
              <w:rPr>
                <w:bCs/>
              </w:rPr>
            </w:pPr>
            <w:r w:rsidRPr="00342DB8">
              <w:rPr>
                <w:bCs/>
              </w:rPr>
              <w:t>Varying degrees of temporary degradation of public views would result during active implementation of vegetation treatment activities under the proposed CalVTP. Herbicide application and prescribed herbivory would occur intermittently and move throughout a project area. These types of activities would not block any views, dominate a viewshed, or significantly disrupt views from a scenic vista or state scenic highway. Equipment and vehicles associated with manual and mechanical treatments and prescribed burning could be visible to public viewers at scenic vistas, along a state scenic highway, or other public view points. However, activities would be temporary, lasting from 1 week to 6 months, and implementation of SPR AES-2 would avoid and minimize visual impacts from the presence of treatment equipment. In addition, smoke from prescribed burns would not result in substantial short-term aesthetic impacts, because burning would temporary, lasting up to 1 week but typically only 1 day, and project proponents would be required to prepare and adhere to a smoke management plan (SMP) (SPR AQ-2) and a Burn Plan (SPR AQ-3) which prescribe the conditions under which prescribed burning can occur to reduce the generation and visibility of smoke. Therefore, this impact would be less than significant.</w:t>
            </w:r>
          </w:p>
        </w:tc>
        <w:tc>
          <w:tcPr>
            <w:tcW w:w="993" w:type="dxa"/>
          </w:tcPr>
          <w:p w14:paraId="69BBA6CD" w14:textId="16E4669B" w:rsidR="00A70F83" w:rsidRPr="005B3573" w:rsidRDefault="00D029BC" w:rsidP="00AA0A72">
            <w:pPr>
              <w:pStyle w:val="TableTextL"/>
              <w:jc w:val="center"/>
            </w:pPr>
            <w:r>
              <w:t>LTS</w:t>
            </w:r>
          </w:p>
        </w:tc>
        <w:tc>
          <w:tcPr>
            <w:tcW w:w="5893" w:type="dxa"/>
          </w:tcPr>
          <w:p w14:paraId="5EFAE64E" w14:textId="23EC7E41" w:rsidR="00A70F83" w:rsidRPr="005B3573" w:rsidRDefault="00D029BC" w:rsidP="001039AE">
            <w:pPr>
              <w:pStyle w:val="TableTextL"/>
            </w:pPr>
            <w:r>
              <w:t>No mitigation is required.</w:t>
            </w:r>
          </w:p>
        </w:tc>
        <w:tc>
          <w:tcPr>
            <w:tcW w:w="938" w:type="dxa"/>
          </w:tcPr>
          <w:p w14:paraId="5A622463" w14:textId="0581C0B0" w:rsidR="00A70F83" w:rsidRPr="005B3573" w:rsidRDefault="00D029BC" w:rsidP="00AA0A72">
            <w:pPr>
              <w:pStyle w:val="TableTextL"/>
              <w:jc w:val="center"/>
            </w:pPr>
            <w:r>
              <w:t>LTS</w:t>
            </w:r>
          </w:p>
        </w:tc>
      </w:tr>
      <w:tr w:rsidR="00D029BC" w:rsidRPr="005B3573" w14:paraId="113C33D4" w14:textId="77777777" w:rsidTr="002B7098">
        <w:trPr>
          <w:jc w:val="center"/>
        </w:trPr>
        <w:tc>
          <w:tcPr>
            <w:tcW w:w="5856" w:type="dxa"/>
          </w:tcPr>
          <w:p w14:paraId="7AF5E8F8" w14:textId="77777777" w:rsidR="00F80062" w:rsidRPr="00F80062" w:rsidRDefault="00F80062" w:rsidP="00F80062">
            <w:pPr>
              <w:pStyle w:val="TableTextL"/>
              <w:rPr>
                <w:b/>
              </w:rPr>
            </w:pPr>
            <w:r w:rsidRPr="00F80062">
              <w:rPr>
                <w:b/>
              </w:rPr>
              <w:t>Impact AES-2: Result in Long-Term, Substantial Degradation of a Scenic Vista or Visual Character or Quality of Public Views, or Damage to Scenic Resources in a State Scenic Highway from WUI Fuel Reduction, Ecological Restoration, or Shaded Fuel Break Treatment Types</w:t>
            </w:r>
          </w:p>
          <w:p w14:paraId="46F77239" w14:textId="77777777" w:rsidR="00F80062" w:rsidRPr="00F80062" w:rsidRDefault="00F80062" w:rsidP="00F80062">
            <w:pPr>
              <w:pStyle w:val="TableTextL"/>
              <w:spacing w:after="60"/>
              <w:rPr>
                <w:bCs/>
              </w:rPr>
            </w:pPr>
            <w:r w:rsidRPr="00F80062">
              <w:rPr>
                <w:bCs/>
              </w:rPr>
              <w:t xml:space="preserve">Long-term effects to aesthetics would occur from implementing WUI fuel reduction, ecological restoration, and shaded fuel break treatment types in the treatable landscape. Because ecological restoration would be designed to improve habitat quality and create a landscape appearance closer to native conditions, it would result in long-term beneficial visual impacts. WUI fuel reduction activities would reduce vegetation near communities. However, it would not be significantly noticeable because sufficient vegetation would remain and could aid in the visual transition from wildlands to urban environment. Prescribed burning in the grass </w:t>
            </w:r>
            <w:r w:rsidRPr="00F80062">
              <w:rPr>
                <w:bCs/>
              </w:rPr>
              <w:lastRenderedPageBreak/>
              <w:t>fuel type would result in the most substantial visual change as grasses would turn a dark charcoal/black color directly following prescribed burning. However, grasses would regrow during the next growing season(s), and wildfire and prescribed burning currently occur within the treatable landscape, thus burned vegetation of all types is occasionally visible. Requirements from SPR AD-4 and SPR REC-1 would be incorporated into prescribed burning projects and ensure notification to the public prior to the commencement of burning operations.</w:t>
            </w:r>
          </w:p>
          <w:p w14:paraId="639B1F08" w14:textId="1DE5BF90" w:rsidR="00D029BC" w:rsidRPr="00342DB8" w:rsidRDefault="00F80062" w:rsidP="00F80062">
            <w:pPr>
              <w:pStyle w:val="TableTextL"/>
              <w:rPr>
                <w:bCs/>
              </w:rPr>
            </w:pPr>
            <w:r w:rsidRPr="00F80062">
              <w:rPr>
                <w:bCs/>
              </w:rPr>
              <w:t>In the case of shaded fuel breaks, because not all of the existing vegetation would be cleared, and large trees would remain, vividness, intactness, and unity of views would remain, and their presence would not substantially affect views from a scenic vista or from a state scenic highway. Requirements from SPR AES-1 and SPR AES-3 would be incorporated into vegetation treatments to break up or screen linear edges of a clearing and screen views from public view points as feasible. Therefore, these treatment types would not result in a long-term or substantial degradation of a scenic vista, substantially damage resources in a state scenic highway, or degrade the existing visual character and quality of a site. This impact would be less than significant.</w:t>
            </w:r>
          </w:p>
        </w:tc>
        <w:tc>
          <w:tcPr>
            <w:tcW w:w="993" w:type="dxa"/>
          </w:tcPr>
          <w:p w14:paraId="510267F2" w14:textId="03C849AF" w:rsidR="00D029BC" w:rsidRPr="005B3573" w:rsidRDefault="00D029BC" w:rsidP="00AA0A72">
            <w:pPr>
              <w:pStyle w:val="TableTextL"/>
              <w:jc w:val="center"/>
            </w:pPr>
            <w:r>
              <w:lastRenderedPageBreak/>
              <w:t>LTS</w:t>
            </w:r>
          </w:p>
        </w:tc>
        <w:tc>
          <w:tcPr>
            <w:tcW w:w="5893" w:type="dxa"/>
          </w:tcPr>
          <w:p w14:paraId="645A9A49" w14:textId="35BF6BE8" w:rsidR="00D029BC" w:rsidRPr="005B3573" w:rsidRDefault="00D029BC" w:rsidP="001039AE">
            <w:pPr>
              <w:pStyle w:val="TableTextL"/>
            </w:pPr>
            <w:r>
              <w:t>No mitigation is required.</w:t>
            </w:r>
          </w:p>
        </w:tc>
        <w:tc>
          <w:tcPr>
            <w:tcW w:w="938" w:type="dxa"/>
          </w:tcPr>
          <w:p w14:paraId="02DDC787" w14:textId="0B9B7901" w:rsidR="00D029BC" w:rsidRPr="005B3573" w:rsidRDefault="00D029BC" w:rsidP="00AA0A72">
            <w:pPr>
              <w:pStyle w:val="TableTextL"/>
              <w:jc w:val="center"/>
            </w:pPr>
            <w:r>
              <w:t>LTS</w:t>
            </w:r>
          </w:p>
        </w:tc>
      </w:tr>
      <w:tr w:rsidR="00A70F83" w:rsidRPr="005B3573" w14:paraId="3B144A40" w14:textId="77777777" w:rsidTr="002B7098">
        <w:trPr>
          <w:jc w:val="center"/>
        </w:trPr>
        <w:tc>
          <w:tcPr>
            <w:tcW w:w="5856" w:type="dxa"/>
            <w:tcBorders>
              <w:bottom w:val="single" w:sz="4" w:space="0" w:color="auto"/>
            </w:tcBorders>
          </w:tcPr>
          <w:p w14:paraId="1D3F7684" w14:textId="77777777" w:rsidR="00CC08E3" w:rsidRPr="00CC08E3" w:rsidRDefault="00CC08E3" w:rsidP="00CC08E3">
            <w:pPr>
              <w:pStyle w:val="TableTextL"/>
              <w:rPr>
                <w:b/>
              </w:rPr>
            </w:pPr>
            <w:r w:rsidRPr="00CC08E3">
              <w:rPr>
                <w:b/>
              </w:rPr>
              <w:t>Impact AES-3: Result in Long-Term Substantial Degradation of a Scenic Vista or Visual Character or Quality of Public Views, or Damage to Scenic Resources in a State Scenic Highway from the Non-Shaded Fuel Break Treatment Type</w:t>
            </w:r>
          </w:p>
          <w:p w14:paraId="5A1B2D62" w14:textId="26B25D2D" w:rsidR="003F5C2A" w:rsidRPr="00F80062" w:rsidRDefault="00CC08E3" w:rsidP="00CC08E3">
            <w:pPr>
              <w:pStyle w:val="TableTextL"/>
              <w:rPr>
                <w:bCs/>
              </w:rPr>
            </w:pPr>
            <w:r w:rsidRPr="00CC08E3">
              <w:rPr>
                <w:bCs/>
              </w:rPr>
              <w:t>Implementation of non-shaded fuel breaks would remove all of the vegetation within a treatment area and could be visible from scenic vistas, state scenic highways, or other public view points. Because non-shaded fuel breaks remove all vegetation, this treatment type could lead to a long-term adverse visual change in the landscape by resulting in a contrasting linear element in an otherwise natural environment. This change would constitute substantial degradation of a scenic vista or the visual character and quality of public views, or substantial damage to scenic resources within a state scenic highway to the extent a non-shaded fuel break is visible to the public. This would be a potentially significant impact.</w:t>
            </w:r>
          </w:p>
        </w:tc>
        <w:tc>
          <w:tcPr>
            <w:tcW w:w="993" w:type="dxa"/>
            <w:tcBorders>
              <w:bottom w:val="single" w:sz="4" w:space="0" w:color="auto"/>
            </w:tcBorders>
          </w:tcPr>
          <w:p w14:paraId="5FA8ED88" w14:textId="31F9C3DE" w:rsidR="00A70F83" w:rsidRPr="005B3573" w:rsidRDefault="00C92973" w:rsidP="005A215E">
            <w:pPr>
              <w:pStyle w:val="TableTextL"/>
              <w:jc w:val="center"/>
            </w:pPr>
            <w:r>
              <w:t>PS</w:t>
            </w:r>
          </w:p>
        </w:tc>
        <w:tc>
          <w:tcPr>
            <w:tcW w:w="5893" w:type="dxa"/>
            <w:tcBorders>
              <w:bottom w:val="single" w:sz="4" w:space="0" w:color="auto"/>
            </w:tcBorders>
          </w:tcPr>
          <w:p w14:paraId="7AB4E17F" w14:textId="77777777" w:rsidR="00177A13" w:rsidRPr="005209B5" w:rsidRDefault="00177A13" w:rsidP="00177A13">
            <w:pPr>
              <w:pStyle w:val="TableTextL"/>
              <w:rPr>
                <w:b/>
                <w:bCs/>
                <w:spacing w:val="-2"/>
              </w:rPr>
            </w:pPr>
            <w:r w:rsidRPr="005209B5">
              <w:rPr>
                <w:b/>
                <w:bCs/>
                <w:spacing w:val="-2"/>
              </w:rPr>
              <w:t>Mitigation Measure AES-3: Conduct Visual Reconnaissance for Non-Shaded Fuel Breaks and Relocate or Feather and Screen Publicly Visible Non-Shaded Fuel Breaks</w:t>
            </w:r>
          </w:p>
          <w:p w14:paraId="083BC7BE" w14:textId="77777777" w:rsidR="00177A13" w:rsidRDefault="00177A13" w:rsidP="00177A13">
            <w:pPr>
              <w:pStyle w:val="TableTextL"/>
              <w:spacing w:after="60"/>
            </w:pPr>
            <w:r>
              <w:t>The project proponent will conduct a visual reconnaissance of the treatment area prior to implementing non-shaded fuel breaks to observe the surrounding landscape and determine if public viewing locations, including scenic vistas, public trails, and state scenic highways, have views of the proposed treatment area. If none are identified, the non-shaded fuel break may be implemented without additional visual mitigation</w:t>
            </w:r>
          </w:p>
          <w:p w14:paraId="6EAD5E95" w14:textId="786A6836" w:rsidR="00A70F83" w:rsidRPr="00AA0A72" w:rsidRDefault="00177A13" w:rsidP="00177A13">
            <w:pPr>
              <w:pStyle w:val="TableTextL"/>
            </w:pPr>
            <w:r>
              <w:t xml:space="preserve">If the project proponent identifies public viewing points, including heavily used scenic vistas, public trails, recreation areas, and state scenic highways with lengthy views (i.e., longer than a few seconds) of a proposed non-shaded fuel break treatment area, the project proponent will, prior to implementation, attempt to identify any feasible change in location of the fuel break to reduce its visibility from public viewpoints. If no feasible location changes exist that would reduce impacts to public viewers and achieve the intended wildfire risk reduction objectives of the proposed non-shaded fuel break, the project proponent will implement, where </w:t>
            </w:r>
            <w:r>
              <w:lastRenderedPageBreak/>
              <w:t>feasible, a shaded fuel break rather than a non-shaded fuel break, if the shaded fuel break would achieve the intended wildfire risk reduction objectives. With the shaded fuel break, the project proponent will thin and feather adjacent vegetation to break up the linear edges of the fuel break and strategically preserve vegetation at the edge of the fuel break, as feasible, to help screen public views and minimize the contrast between the fuel break and surrounding vegetation.</w:t>
            </w:r>
          </w:p>
        </w:tc>
        <w:tc>
          <w:tcPr>
            <w:tcW w:w="938" w:type="dxa"/>
            <w:tcBorders>
              <w:bottom w:val="single" w:sz="4" w:space="0" w:color="auto"/>
            </w:tcBorders>
          </w:tcPr>
          <w:p w14:paraId="0C1274B7" w14:textId="72544EDB" w:rsidR="00A70F83" w:rsidRPr="005B3573" w:rsidRDefault="00C92973" w:rsidP="005A215E">
            <w:pPr>
              <w:pStyle w:val="TableTextL"/>
              <w:jc w:val="center"/>
            </w:pPr>
            <w:r>
              <w:lastRenderedPageBreak/>
              <w:t>SU</w:t>
            </w:r>
          </w:p>
        </w:tc>
      </w:tr>
      <w:tr w:rsidR="002025B4" w:rsidRPr="005B3573" w14:paraId="08206B5C" w14:textId="77777777" w:rsidTr="002B7098">
        <w:trPr>
          <w:jc w:val="center"/>
        </w:trPr>
        <w:tc>
          <w:tcPr>
            <w:tcW w:w="5856" w:type="dxa"/>
            <w:tcBorders>
              <w:top w:val="single" w:sz="4" w:space="0" w:color="auto"/>
              <w:right w:val="nil"/>
            </w:tcBorders>
            <w:shd w:val="clear" w:color="auto" w:fill="F2F2F2" w:themeFill="background1" w:themeFillShade="F2"/>
          </w:tcPr>
          <w:p w14:paraId="3127F2E6" w14:textId="3A54C063" w:rsidR="002025B4" w:rsidRPr="00931675" w:rsidRDefault="00BF7B34" w:rsidP="00D44A8D">
            <w:pPr>
              <w:pStyle w:val="TableTextL"/>
              <w:keepNext/>
              <w:rPr>
                <w:b/>
              </w:rPr>
            </w:pPr>
            <w:r w:rsidRPr="00931675">
              <w:rPr>
                <w:b/>
              </w:rPr>
              <w:t xml:space="preserve">Agricultural and </w:t>
            </w:r>
            <w:r w:rsidR="00232F35" w:rsidRPr="00931675">
              <w:rPr>
                <w:b/>
              </w:rPr>
              <w:t>Forestry Resources</w:t>
            </w:r>
          </w:p>
        </w:tc>
        <w:tc>
          <w:tcPr>
            <w:tcW w:w="993" w:type="dxa"/>
            <w:tcBorders>
              <w:top w:val="single" w:sz="4" w:space="0" w:color="auto"/>
              <w:left w:val="nil"/>
              <w:right w:val="nil"/>
            </w:tcBorders>
            <w:shd w:val="clear" w:color="auto" w:fill="F2F2F2" w:themeFill="background1" w:themeFillShade="F2"/>
          </w:tcPr>
          <w:p w14:paraId="649E3AF1" w14:textId="77777777" w:rsidR="002025B4" w:rsidRPr="005B3573" w:rsidRDefault="002025B4" w:rsidP="005A215E">
            <w:pPr>
              <w:pStyle w:val="TableTextL"/>
              <w:keepNext/>
              <w:jc w:val="center"/>
              <w:rPr>
                <w:b/>
              </w:rPr>
            </w:pPr>
          </w:p>
        </w:tc>
        <w:tc>
          <w:tcPr>
            <w:tcW w:w="5893" w:type="dxa"/>
            <w:tcBorders>
              <w:top w:val="single" w:sz="4" w:space="0" w:color="auto"/>
              <w:left w:val="nil"/>
              <w:right w:val="nil"/>
            </w:tcBorders>
            <w:shd w:val="clear" w:color="auto" w:fill="F2F2F2" w:themeFill="background1" w:themeFillShade="F2"/>
          </w:tcPr>
          <w:p w14:paraId="25482424" w14:textId="77777777" w:rsidR="002025B4" w:rsidRPr="005B3573" w:rsidRDefault="002025B4" w:rsidP="00D44A8D">
            <w:pPr>
              <w:pStyle w:val="TableTextL"/>
              <w:keepNext/>
              <w:rPr>
                <w:b/>
              </w:rPr>
            </w:pPr>
          </w:p>
        </w:tc>
        <w:tc>
          <w:tcPr>
            <w:tcW w:w="938" w:type="dxa"/>
            <w:tcBorders>
              <w:top w:val="single" w:sz="4" w:space="0" w:color="auto"/>
              <w:left w:val="nil"/>
            </w:tcBorders>
            <w:shd w:val="clear" w:color="auto" w:fill="F2F2F2" w:themeFill="background1" w:themeFillShade="F2"/>
          </w:tcPr>
          <w:p w14:paraId="5B9F44D4" w14:textId="77777777" w:rsidR="002025B4" w:rsidRPr="005B3573" w:rsidRDefault="002025B4" w:rsidP="005A215E">
            <w:pPr>
              <w:pStyle w:val="TableTextL"/>
              <w:keepNext/>
              <w:jc w:val="center"/>
              <w:rPr>
                <w:b/>
              </w:rPr>
            </w:pPr>
          </w:p>
        </w:tc>
      </w:tr>
      <w:tr w:rsidR="00122FBC" w:rsidRPr="005B3573" w14:paraId="01958225" w14:textId="77777777" w:rsidTr="002B7098">
        <w:trPr>
          <w:jc w:val="center"/>
        </w:trPr>
        <w:tc>
          <w:tcPr>
            <w:tcW w:w="5856" w:type="dxa"/>
          </w:tcPr>
          <w:p w14:paraId="6F36A76D" w14:textId="77777777" w:rsidR="00122FBC" w:rsidRPr="00931675" w:rsidRDefault="00122FBC" w:rsidP="00122FBC">
            <w:pPr>
              <w:pStyle w:val="TableTextL"/>
              <w:rPr>
                <w:b/>
                <w:bCs/>
              </w:rPr>
            </w:pPr>
            <w:r w:rsidRPr="00931675">
              <w:rPr>
                <w:b/>
                <w:bCs/>
              </w:rPr>
              <w:t>Impact AG-1: Directly Result in the Loss of Forest Land or Conversion of Forest Land to a Non-Forest Use or Involve Other Changes in the Existing Environment Which, Due to Their Location or Nature, Could Result in Conversion of Forest Land to Non-Forest Use</w:t>
            </w:r>
          </w:p>
          <w:p w14:paraId="08B78C13" w14:textId="6482F11A" w:rsidR="00122FBC" w:rsidRPr="00931675" w:rsidRDefault="00122FBC" w:rsidP="00122FBC">
            <w:pPr>
              <w:pStyle w:val="TableTextL"/>
            </w:pPr>
            <w:r w:rsidRPr="00931675">
              <w:t xml:space="preserve">The WUI fuel reduction, ecological restoration and </w:t>
            </w:r>
            <w:r w:rsidRPr="00C07C7B">
              <w:rPr>
                <w:strike/>
              </w:rPr>
              <w:t>non-</w:t>
            </w:r>
            <w:r w:rsidRPr="00931675">
              <w:t>shaded fuel break treatment types would inherently retain some vegetation within treatment areas. Establishing a non-shaded fuel break would require complete removal of vegetation within the limited area of the fuel break. Untreated vegetation surrounding the fuel break within forest land would remain intact. Although, treatment activities would alter forest land through vegetation removal, the area would generally support 10 percent of native tree cover thereby maintaining consistency with the definition of forest land as defined by PRC Section 12220(g). Treatment activities under the CalVTP would not result in the loss of forest land or conversion of forest land to a non-forest use. This impact would be less than significant.</w:t>
            </w:r>
          </w:p>
        </w:tc>
        <w:tc>
          <w:tcPr>
            <w:tcW w:w="993" w:type="dxa"/>
          </w:tcPr>
          <w:p w14:paraId="04856430" w14:textId="546C06E3" w:rsidR="00122FBC" w:rsidRPr="005B3573" w:rsidRDefault="00122FBC" w:rsidP="00122FBC">
            <w:pPr>
              <w:pStyle w:val="TableTextL"/>
              <w:jc w:val="center"/>
            </w:pPr>
            <w:r>
              <w:t>LTS</w:t>
            </w:r>
          </w:p>
        </w:tc>
        <w:tc>
          <w:tcPr>
            <w:tcW w:w="5893" w:type="dxa"/>
          </w:tcPr>
          <w:p w14:paraId="0C612A28" w14:textId="4F5114B2" w:rsidR="00122FBC" w:rsidRPr="005B3573" w:rsidRDefault="00122FBC" w:rsidP="00122FBC">
            <w:pPr>
              <w:pStyle w:val="TableTextL"/>
            </w:pPr>
            <w:r>
              <w:t>No mitigation is required.</w:t>
            </w:r>
          </w:p>
        </w:tc>
        <w:tc>
          <w:tcPr>
            <w:tcW w:w="938" w:type="dxa"/>
          </w:tcPr>
          <w:p w14:paraId="069AF429" w14:textId="7493CF85" w:rsidR="00122FBC" w:rsidRPr="005B3573" w:rsidRDefault="00122FBC" w:rsidP="00122FBC">
            <w:pPr>
              <w:pStyle w:val="TableTextL"/>
              <w:jc w:val="center"/>
            </w:pPr>
            <w:r>
              <w:t>LTS</w:t>
            </w:r>
          </w:p>
        </w:tc>
      </w:tr>
      <w:tr w:rsidR="00122FBC" w:rsidRPr="005B3573" w14:paraId="773D024D" w14:textId="77777777" w:rsidTr="002B7098">
        <w:trPr>
          <w:jc w:val="center"/>
        </w:trPr>
        <w:tc>
          <w:tcPr>
            <w:tcW w:w="5856" w:type="dxa"/>
            <w:tcBorders>
              <w:top w:val="single" w:sz="4" w:space="0" w:color="auto"/>
              <w:right w:val="nil"/>
            </w:tcBorders>
            <w:shd w:val="clear" w:color="auto" w:fill="F2F2F2" w:themeFill="background1" w:themeFillShade="F2"/>
          </w:tcPr>
          <w:p w14:paraId="393CBA69" w14:textId="5710CB51" w:rsidR="00122FBC" w:rsidRPr="00931675" w:rsidRDefault="00122FBC" w:rsidP="00122FBC">
            <w:pPr>
              <w:pStyle w:val="TableTextL"/>
              <w:keepNext/>
              <w:rPr>
                <w:b/>
              </w:rPr>
            </w:pPr>
            <w:r w:rsidRPr="00931675">
              <w:rPr>
                <w:b/>
              </w:rPr>
              <w:t>Air Quality</w:t>
            </w:r>
          </w:p>
        </w:tc>
        <w:tc>
          <w:tcPr>
            <w:tcW w:w="993" w:type="dxa"/>
            <w:tcBorders>
              <w:top w:val="single" w:sz="4" w:space="0" w:color="auto"/>
              <w:left w:val="nil"/>
              <w:right w:val="nil"/>
            </w:tcBorders>
            <w:shd w:val="clear" w:color="auto" w:fill="F2F2F2" w:themeFill="background1" w:themeFillShade="F2"/>
          </w:tcPr>
          <w:p w14:paraId="69C82788" w14:textId="77777777" w:rsidR="00122FBC" w:rsidRPr="005B3573" w:rsidRDefault="00122FBC" w:rsidP="00122FBC">
            <w:pPr>
              <w:pStyle w:val="TableTextL"/>
              <w:jc w:val="center"/>
              <w:rPr>
                <w:b/>
              </w:rPr>
            </w:pPr>
          </w:p>
        </w:tc>
        <w:tc>
          <w:tcPr>
            <w:tcW w:w="5893" w:type="dxa"/>
            <w:tcBorders>
              <w:top w:val="single" w:sz="4" w:space="0" w:color="auto"/>
              <w:left w:val="nil"/>
              <w:right w:val="nil"/>
            </w:tcBorders>
            <w:shd w:val="clear" w:color="auto" w:fill="F2F2F2" w:themeFill="background1" w:themeFillShade="F2"/>
          </w:tcPr>
          <w:p w14:paraId="3EA180FF" w14:textId="77777777" w:rsidR="00122FBC" w:rsidRPr="005B3573" w:rsidRDefault="00122FBC" w:rsidP="00122FBC">
            <w:pPr>
              <w:pStyle w:val="TableTextL"/>
              <w:rPr>
                <w:b/>
              </w:rPr>
            </w:pPr>
          </w:p>
        </w:tc>
        <w:tc>
          <w:tcPr>
            <w:tcW w:w="938" w:type="dxa"/>
            <w:tcBorders>
              <w:top w:val="single" w:sz="4" w:space="0" w:color="auto"/>
              <w:left w:val="nil"/>
            </w:tcBorders>
            <w:shd w:val="clear" w:color="auto" w:fill="F2F2F2" w:themeFill="background1" w:themeFillShade="F2"/>
          </w:tcPr>
          <w:p w14:paraId="54DE8263" w14:textId="77777777" w:rsidR="00122FBC" w:rsidRPr="005B3573" w:rsidRDefault="00122FBC" w:rsidP="00122FBC">
            <w:pPr>
              <w:pStyle w:val="TableTextL"/>
              <w:jc w:val="center"/>
              <w:rPr>
                <w:b/>
              </w:rPr>
            </w:pPr>
          </w:p>
        </w:tc>
      </w:tr>
      <w:tr w:rsidR="00122FBC" w:rsidRPr="005B3573" w14:paraId="0F1B2EFD" w14:textId="77777777" w:rsidTr="002B7098">
        <w:trPr>
          <w:jc w:val="center"/>
        </w:trPr>
        <w:tc>
          <w:tcPr>
            <w:tcW w:w="5856" w:type="dxa"/>
          </w:tcPr>
          <w:p w14:paraId="0FEAA080" w14:textId="2DCA7223" w:rsidR="00E72594" w:rsidRPr="00E72594" w:rsidRDefault="00E72594" w:rsidP="00E72594">
            <w:pPr>
              <w:pStyle w:val="TableTextL"/>
              <w:rPr>
                <w:b/>
                <w:bCs/>
              </w:rPr>
            </w:pPr>
            <w:r w:rsidRPr="00E72594">
              <w:rPr>
                <w:b/>
                <w:bCs/>
              </w:rPr>
              <w:t>Impact AQ-1: Generate Emissions of Criteria Air Pollutants and Precursors during Treatment Activities that Would Exceed CAAQS or NAAQS</w:t>
            </w:r>
            <w:r w:rsidR="00196700">
              <w:rPr>
                <w:b/>
                <w:bCs/>
              </w:rPr>
              <w:t xml:space="preserve"> </w:t>
            </w:r>
            <w:r w:rsidR="00196700" w:rsidRPr="00196700">
              <w:rPr>
                <w:b/>
                <w:bCs/>
              </w:rPr>
              <w:t>and Conflict with Regional Air Quality Plans</w:t>
            </w:r>
          </w:p>
          <w:p w14:paraId="351DC75E" w14:textId="37A4DF9E" w:rsidR="00122FBC" w:rsidRPr="00931675" w:rsidRDefault="00E72594" w:rsidP="00E72594">
            <w:pPr>
              <w:pStyle w:val="TableTextL"/>
            </w:pPr>
            <w:r>
              <w:t>Emissions of criteria air pollutants and precursors generated by mechanical and manual treatments, prescribed herbivory, herbicide application, and prescribed burns under the CalVTP would likely exceed air district–established mass emission thresholds and, therefore, result in, or contribute to, the nonattainment status with respect to the NAAQS and CAAQS in one or more air basins. In addition, treatment activity–related emissions could result in, or contribute to, localized exceedances of NAAQS and CAAQS for CO, PM</w:t>
            </w:r>
            <w:r w:rsidRPr="00E72594">
              <w:rPr>
                <w:vertAlign w:val="subscript"/>
              </w:rPr>
              <w:t>10</w:t>
            </w:r>
            <w:r>
              <w:t>, and PM</w:t>
            </w:r>
            <w:r w:rsidRPr="00E72594">
              <w:rPr>
                <w:vertAlign w:val="subscript"/>
              </w:rPr>
              <w:t>2.5</w:t>
            </w:r>
            <w:r>
              <w:t xml:space="preserve"> in areas where people reside and </w:t>
            </w:r>
            <w:r>
              <w:lastRenderedPageBreak/>
              <w:t>work, thereby also conflicting with the air quality planning efforts of regional air districts</w:t>
            </w:r>
            <w:r w:rsidR="00196700">
              <w:t>, including those that comprise the SIP</w:t>
            </w:r>
            <w:r>
              <w:t>. This could result in health complications experienced by receptors, which, if it occurred, would be a potentially significant impact.</w:t>
            </w:r>
          </w:p>
        </w:tc>
        <w:tc>
          <w:tcPr>
            <w:tcW w:w="993" w:type="dxa"/>
          </w:tcPr>
          <w:p w14:paraId="527636B7" w14:textId="78427B42" w:rsidR="00122FBC" w:rsidRPr="005B3573" w:rsidRDefault="00E72594" w:rsidP="00122FBC">
            <w:pPr>
              <w:pStyle w:val="TableTextL"/>
              <w:jc w:val="center"/>
            </w:pPr>
            <w:r>
              <w:lastRenderedPageBreak/>
              <w:t>PS</w:t>
            </w:r>
          </w:p>
        </w:tc>
        <w:tc>
          <w:tcPr>
            <w:tcW w:w="5893" w:type="dxa"/>
          </w:tcPr>
          <w:p w14:paraId="04F61445" w14:textId="77777777" w:rsidR="00E72594" w:rsidRPr="00E72594" w:rsidRDefault="00E72594" w:rsidP="00E72594">
            <w:pPr>
              <w:pStyle w:val="TableTextL"/>
              <w:rPr>
                <w:b/>
                <w:bCs/>
              </w:rPr>
            </w:pPr>
            <w:r w:rsidRPr="00E72594">
              <w:rPr>
                <w:b/>
                <w:bCs/>
              </w:rPr>
              <w:t>Mitigation Measure AQ-1: Implement On-Road Vehicle and Off-Road Equipment Exhaust Emission Reduction Techniques</w:t>
            </w:r>
          </w:p>
          <w:p w14:paraId="6F743FDB" w14:textId="77777777" w:rsidR="00E72594" w:rsidRDefault="00E72594" w:rsidP="00E72594">
            <w:pPr>
              <w:pStyle w:val="TableTextL"/>
            </w:pPr>
            <w:r>
              <w:t>Where feasible, project proponents will implement emission reduction techniques to reduce exhaust emissions from off-road equipment. It is acknowledged that due to cost, availability, and the limits of current technology, there may be circumstances where implementation of certain emission reduction techniques will not feasible. The project proponent will document the emission reduction techniques that will be applied and will explain the reasons other techniques that could reduce emissions are infeasible.</w:t>
            </w:r>
          </w:p>
          <w:p w14:paraId="59C29584" w14:textId="77777777" w:rsidR="00E72594" w:rsidRDefault="00E72594" w:rsidP="00E72594">
            <w:pPr>
              <w:pStyle w:val="TableTextL"/>
            </w:pPr>
            <w:r>
              <w:lastRenderedPageBreak/>
              <w:t>Techniques for reducing emissions may include, but are not limited to, the following:</w:t>
            </w:r>
          </w:p>
          <w:p w14:paraId="18EEC498" w14:textId="77777777" w:rsidR="00E72594" w:rsidRDefault="00E72594" w:rsidP="00E72594">
            <w:pPr>
              <w:pStyle w:val="TableBullet1"/>
            </w:pPr>
            <w:r>
              <w:t>D</w:t>
            </w:r>
            <w:r w:rsidRPr="00F42B69">
              <w:t xml:space="preserve">iesel-powered off-road equipment used in construction </w:t>
            </w:r>
            <w:r>
              <w:t>will</w:t>
            </w:r>
            <w:r w:rsidRPr="00F42B69">
              <w:t xml:space="preserve"> meet EPA</w:t>
            </w:r>
            <w:r>
              <w:t>’</w:t>
            </w:r>
            <w:r w:rsidRPr="00F42B69">
              <w:t>s Tier 4 emission standards as defined in 40 CFR 1039 and comply with the exhaust emission test procedures and provisions of 40 CFR Parts 1065 and 1068. Tier</w:t>
            </w:r>
            <w:r>
              <w:t> </w:t>
            </w:r>
            <w:r w:rsidRPr="00F42B69">
              <w:t xml:space="preserve">3 models can be used if a Tier 4 version of the equipment type is not yet produced by manufacturers. This measure can also be achieved by using battery-electric off-road equipment as it becomes available. </w:t>
            </w:r>
            <w:r w:rsidRPr="0056658D">
              <w:t xml:space="preserve">Prior to implementation of treatment activities, </w:t>
            </w:r>
            <w:r>
              <w:t xml:space="preserve">the </w:t>
            </w:r>
            <w:r w:rsidRPr="0056658D">
              <w:t xml:space="preserve">project proponent </w:t>
            </w:r>
            <w:r>
              <w:t>will</w:t>
            </w:r>
            <w:r w:rsidRPr="0056658D">
              <w:t xml:space="preserve"> demonstrate the ability to supply the compliant equipment. A copy of each unit</w:t>
            </w:r>
            <w:r>
              <w:t>’</w:t>
            </w:r>
            <w:r w:rsidRPr="0056658D">
              <w:t xml:space="preserve">s certified tier specification or model year specification and operating permit (if applicable) </w:t>
            </w:r>
            <w:r>
              <w:t>will</w:t>
            </w:r>
            <w:r w:rsidRPr="0056658D">
              <w:t xml:space="preserve"> be available upon request at the time of mobilization of each unit of equipment.</w:t>
            </w:r>
          </w:p>
          <w:p w14:paraId="1AF8B451" w14:textId="77777777" w:rsidR="00E72594" w:rsidRDefault="00E72594" w:rsidP="00E72594">
            <w:pPr>
              <w:pStyle w:val="TableBullet1"/>
            </w:pPr>
            <w:r>
              <w:t>Use renewable diesel fuel in diesel-powered construction equipment. Renewable diesel fuel must meet the following criteria:</w:t>
            </w:r>
          </w:p>
          <w:p w14:paraId="522A4AA3" w14:textId="77777777" w:rsidR="00E72594" w:rsidRDefault="00E72594" w:rsidP="00E72594">
            <w:pPr>
              <w:pStyle w:val="TableBullet2"/>
            </w:pPr>
            <w:r>
              <w:t>meet California’s Low Carbon Fuel Standards and be certified by CARB Executive Officer;</w:t>
            </w:r>
          </w:p>
          <w:p w14:paraId="3B7E266F" w14:textId="77777777" w:rsidR="00E72594" w:rsidRDefault="00E72594" w:rsidP="00E72594">
            <w:pPr>
              <w:pStyle w:val="TableBullet2"/>
            </w:pPr>
            <w:r>
              <w:t>be hydrogenation-derived (reaction with hydrogen at high temperatures) from 100 percent biomass material (i.e., non-petroleum sources), such as animal fats and vegetables;</w:t>
            </w:r>
          </w:p>
          <w:p w14:paraId="71953448" w14:textId="77777777" w:rsidR="00E72594" w:rsidRDefault="00E72594" w:rsidP="00E72594">
            <w:pPr>
              <w:pStyle w:val="TableBullet2"/>
            </w:pPr>
            <w:r>
              <w:t>contain no fatty acids or functionalized fatty acid esters; and</w:t>
            </w:r>
          </w:p>
          <w:p w14:paraId="0403A4B2" w14:textId="77777777" w:rsidR="00E72594" w:rsidRDefault="00E72594" w:rsidP="00E72594">
            <w:pPr>
              <w:pStyle w:val="TableBullet2"/>
            </w:pPr>
            <w:r>
              <w:t xml:space="preserve">have a chemical structure that is identical to petroleum-based diesel and complies with American Society for Testing and Materials D975 requirements for diesel fuels to ensure compatibility with all existing diesel engines. </w:t>
            </w:r>
          </w:p>
          <w:p w14:paraId="1AD201EE" w14:textId="77777777" w:rsidR="00E72594" w:rsidRDefault="00E72594" w:rsidP="00E72594">
            <w:pPr>
              <w:pStyle w:val="TableBullet1"/>
            </w:pPr>
            <w:r>
              <w:t>Electric- and gasoline-powered equipment will be substituted for diesel-powered equipment.</w:t>
            </w:r>
          </w:p>
          <w:p w14:paraId="05A0C2F5" w14:textId="77777777" w:rsidR="00E72594" w:rsidRDefault="00E72594" w:rsidP="00E72594">
            <w:pPr>
              <w:pStyle w:val="TableBullet1"/>
            </w:pPr>
            <w:r>
              <w:t>Workers will be encouraged to carpool to work sites, and/or use public transportation for their commutes.</w:t>
            </w:r>
          </w:p>
          <w:p w14:paraId="1C1DF4F5" w14:textId="7EFD811D" w:rsidR="00122FBC" w:rsidRPr="005B3573" w:rsidRDefault="00E72594" w:rsidP="00E72594">
            <w:pPr>
              <w:pStyle w:val="TableBullet1"/>
            </w:pPr>
            <w:r>
              <w:t>Off-road equipment, diesel trucks, and generators will be equipped with Best Available Control Technology for emission reductions of NO</w:t>
            </w:r>
            <w:r>
              <w:rPr>
                <w:vertAlign w:val="subscript"/>
              </w:rPr>
              <w:t>X</w:t>
            </w:r>
            <w:r>
              <w:t xml:space="preserve"> and PM. </w:t>
            </w:r>
          </w:p>
        </w:tc>
        <w:tc>
          <w:tcPr>
            <w:tcW w:w="938" w:type="dxa"/>
          </w:tcPr>
          <w:p w14:paraId="444B12C0" w14:textId="6A52D279" w:rsidR="00122FBC" w:rsidRPr="005B3573" w:rsidRDefault="00640912" w:rsidP="00122FBC">
            <w:pPr>
              <w:pStyle w:val="TableTextL"/>
              <w:jc w:val="center"/>
            </w:pPr>
            <w:r>
              <w:lastRenderedPageBreak/>
              <w:t>SU</w:t>
            </w:r>
          </w:p>
        </w:tc>
      </w:tr>
      <w:tr w:rsidR="004B00CC" w:rsidRPr="005B3573" w14:paraId="5BD8FE2F" w14:textId="77777777" w:rsidTr="003060D2">
        <w:trPr>
          <w:jc w:val="center"/>
        </w:trPr>
        <w:tc>
          <w:tcPr>
            <w:tcW w:w="5856" w:type="dxa"/>
          </w:tcPr>
          <w:p w14:paraId="5779F545" w14:textId="77777777" w:rsidR="004B00CC" w:rsidRPr="004B00CC" w:rsidRDefault="004B00CC" w:rsidP="00192346">
            <w:pPr>
              <w:pStyle w:val="TableTextL"/>
              <w:keepNext/>
              <w:rPr>
                <w:b/>
                <w:bCs/>
              </w:rPr>
            </w:pPr>
            <w:r w:rsidRPr="004B00CC">
              <w:rPr>
                <w:b/>
                <w:bCs/>
              </w:rPr>
              <w:lastRenderedPageBreak/>
              <w:t>Impact AQ-2: Expose People to Diesel Particulate Matter Emissions and Related Health Risk</w:t>
            </w:r>
          </w:p>
          <w:p w14:paraId="52D67A76" w14:textId="7CC32B02" w:rsidR="004B00CC" w:rsidRPr="00931675" w:rsidRDefault="004B00CC" w:rsidP="004B00CC">
            <w:pPr>
              <w:pStyle w:val="TableTextL"/>
            </w:pPr>
            <w:r>
              <w:t>Because of the short duration of treatment activities and because treatment activity would not take place near the same people for an extended period of time, diesel PM generated by treatment activities would not expose any person to an incremental increase in cancer risk greater than 10 in one million or a Hazard Index of 1.0 or greater. This impact would be less than significant.</w:t>
            </w:r>
          </w:p>
        </w:tc>
        <w:tc>
          <w:tcPr>
            <w:tcW w:w="993" w:type="dxa"/>
          </w:tcPr>
          <w:p w14:paraId="0924D6AA" w14:textId="6517CA05" w:rsidR="004B00CC" w:rsidRPr="005B3573" w:rsidRDefault="004B00CC" w:rsidP="004B00CC">
            <w:pPr>
              <w:pStyle w:val="TableTextL"/>
              <w:jc w:val="center"/>
            </w:pPr>
            <w:r>
              <w:t>LTS</w:t>
            </w:r>
          </w:p>
        </w:tc>
        <w:tc>
          <w:tcPr>
            <w:tcW w:w="5893" w:type="dxa"/>
          </w:tcPr>
          <w:p w14:paraId="654BEA68" w14:textId="5CAE21B8" w:rsidR="004B00CC" w:rsidRPr="005B3573" w:rsidRDefault="004B00CC" w:rsidP="004B00CC">
            <w:pPr>
              <w:pStyle w:val="TableTextL"/>
            </w:pPr>
            <w:r>
              <w:t>No mitigation is required.</w:t>
            </w:r>
          </w:p>
        </w:tc>
        <w:tc>
          <w:tcPr>
            <w:tcW w:w="938" w:type="dxa"/>
          </w:tcPr>
          <w:p w14:paraId="2C6C8FE5" w14:textId="1F506C02" w:rsidR="004B00CC" w:rsidRPr="005B3573" w:rsidRDefault="004B00CC" w:rsidP="004B00CC">
            <w:pPr>
              <w:pStyle w:val="TableTextL"/>
              <w:jc w:val="center"/>
            </w:pPr>
            <w:r>
              <w:t>LTS</w:t>
            </w:r>
          </w:p>
        </w:tc>
      </w:tr>
      <w:tr w:rsidR="00CF0E26" w:rsidRPr="005B3573" w14:paraId="17158F2D" w14:textId="77777777" w:rsidTr="003060D2">
        <w:trPr>
          <w:jc w:val="center"/>
        </w:trPr>
        <w:tc>
          <w:tcPr>
            <w:tcW w:w="5856" w:type="dxa"/>
            <w:tcBorders>
              <w:bottom w:val="single" w:sz="4" w:space="0" w:color="auto"/>
            </w:tcBorders>
          </w:tcPr>
          <w:p w14:paraId="2F7D1965" w14:textId="77777777" w:rsidR="00CF0E26" w:rsidRPr="00192346" w:rsidRDefault="00CF0E26" w:rsidP="00CF0E26">
            <w:pPr>
              <w:pStyle w:val="TableTextL"/>
              <w:rPr>
                <w:b/>
                <w:bCs/>
              </w:rPr>
            </w:pPr>
            <w:r w:rsidRPr="00192346">
              <w:rPr>
                <w:b/>
                <w:bCs/>
              </w:rPr>
              <w:t>Impact AQ-3: Expose People to Fugitive Dust Emissions Containing Naturally Occurring Asbestos and Related Health Risk</w:t>
            </w:r>
          </w:p>
          <w:p w14:paraId="2E9C418B" w14:textId="6D43FE0C" w:rsidR="00CF0E26" w:rsidRPr="00931675" w:rsidRDefault="00CF0E26" w:rsidP="00CF0E26">
            <w:pPr>
              <w:pStyle w:val="TableTextL"/>
            </w:pPr>
            <w:r>
              <w:t>Treatment activities implemented under the CalVTP could involve ground disturbing activities in areas where NOA is present. However, multiple SPRs would limit exposure of people to NOA-containing fugitive dust emissions generated by treatment activities implemented under the CalVTP. This impact would be less than significant.</w:t>
            </w:r>
          </w:p>
        </w:tc>
        <w:tc>
          <w:tcPr>
            <w:tcW w:w="993" w:type="dxa"/>
            <w:tcBorders>
              <w:bottom w:val="single" w:sz="4" w:space="0" w:color="auto"/>
            </w:tcBorders>
          </w:tcPr>
          <w:p w14:paraId="3B8B3DA0" w14:textId="37831DD8" w:rsidR="00CF0E26" w:rsidRPr="005B3573" w:rsidRDefault="00CF0E26" w:rsidP="00CF0E26">
            <w:pPr>
              <w:pStyle w:val="TableTextL"/>
              <w:jc w:val="center"/>
            </w:pPr>
            <w:r>
              <w:t>LTS</w:t>
            </w:r>
          </w:p>
        </w:tc>
        <w:tc>
          <w:tcPr>
            <w:tcW w:w="5893" w:type="dxa"/>
            <w:tcBorders>
              <w:bottom w:val="single" w:sz="4" w:space="0" w:color="auto"/>
            </w:tcBorders>
          </w:tcPr>
          <w:p w14:paraId="67C7EB94" w14:textId="3C1CB9AA" w:rsidR="00CF0E26" w:rsidRPr="005B3573" w:rsidRDefault="00CF0E26" w:rsidP="00CF0E26">
            <w:pPr>
              <w:pStyle w:val="TableTextL"/>
            </w:pPr>
            <w:r>
              <w:t>No mitigation is required.</w:t>
            </w:r>
          </w:p>
        </w:tc>
        <w:tc>
          <w:tcPr>
            <w:tcW w:w="938" w:type="dxa"/>
            <w:tcBorders>
              <w:bottom w:val="single" w:sz="4" w:space="0" w:color="auto"/>
            </w:tcBorders>
          </w:tcPr>
          <w:p w14:paraId="7BA57F67" w14:textId="350B9290" w:rsidR="00CF0E26" w:rsidRPr="005B3573" w:rsidRDefault="00CF0E26" w:rsidP="00CF0E26">
            <w:pPr>
              <w:pStyle w:val="TableTextL"/>
              <w:jc w:val="center"/>
            </w:pPr>
            <w:r>
              <w:t>LTS</w:t>
            </w:r>
          </w:p>
        </w:tc>
      </w:tr>
      <w:tr w:rsidR="00CF0E26" w:rsidRPr="005B3573" w14:paraId="643DD689" w14:textId="77777777" w:rsidTr="003060D2">
        <w:trPr>
          <w:jc w:val="center"/>
        </w:trPr>
        <w:tc>
          <w:tcPr>
            <w:tcW w:w="5856" w:type="dxa"/>
            <w:tcBorders>
              <w:bottom w:val="single" w:sz="4" w:space="0" w:color="auto"/>
            </w:tcBorders>
          </w:tcPr>
          <w:p w14:paraId="0CCC5EC8" w14:textId="77777777" w:rsidR="00DE3BE3" w:rsidRPr="00DE3BE3" w:rsidRDefault="00DE3BE3" w:rsidP="00DE3BE3">
            <w:pPr>
              <w:pStyle w:val="TableTextL"/>
              <w:rPr>
                <w:b/>
                <w:bCs/>
              </w:rPr>
            </w:pPr>
            <w:r w:rsidRPr="00DE3BE3">
              <w:rPr>
                <w:b/>
                <w:bCs/>
              </w:rPr>
              <w:t>Impact AQ-4: Expose People to Toxic Air Contaminants Emitted by Prescribed Burns and Related Health Risk</w:t>
            </w:r>
          </w:p>
          <w:p w14:paraId="341789F8" w14:textId="175CC4B9" w:rsidR="00CF0E26" w:rsidRPr="00931675" w:rsidRDefault="00DE3BE3" w:rsidP="00DE3BE3">
            <w:pPr>
              <w:pStyle w:val="TableTextL"/>
            </w:pPr>
            <w:r>
              <w:t>Prescribed burns conducted under the CalVTP could result in the short-term exposure of people to concentrations of TACs and associated levels of acute health risk with a Hazard Index greater than 1.0. This would be a potentially significant impact.</w:t>
            </w:r>
          </w:p>
        </w:tc>
        <w:tc>
          <w:tcPr>
            <w:tcW w:w="993" w:type="dxa"/>
            <w:tcBorders>
              <w:bottom w:val="single" w:sz="4" w:space="0" w:color="auto"/>
            </w:tcBorders>
          </w:tcPr>
          <w:p w14:paraId="0614C557" w14:textId="0AFA9925" w:rsidR="00CF0E26" w:rsidRPr="005B3573" w:rsidRDefault="00DE3BE3" w:rsidP="00CF0E26">
            <w:pPr>
              <w:pStyle w:val="TableTextL"/>
              <w:jc w:val="center"/>
            </w:pPr>
            <w:r>
              <w:t>PS</w:t>
            </w:r>
          </w:p>
        </w:tc>
        <w:tc>
          <w:tcPr>
            <w:tcW w:w="5893" w:type="dxa"/>
            <w:tcBorders>
              <w:bottom w:val="single" w:sz="4" w:space="0" w:color="auto"/>
            </w:tcBorders>
          </w:tcPr>
          <w:p w14:paraId="65E350B4" w14:textId="192B7FEA" w:rsidR="00CF0E26" w:rsidRPr="005B3573" w:rsidRDefault="009B3F06" w:rsidP="00CF0E26">
            <w:pPr>
              <w:pStyle w:val="TableTextL"/>
            </w:pPr>
            <w:r>
              <w:t>Additional measures are not</w:t>
            </w:r>
            <w:r w:rsidR="00DE3BE3">
              <w:t xml:space="preserve"> feasible.</w:t>
            </w:r>
          </w:p>
        </w:tc>
        <w:tc>
          <w:tcPr>
            <w:tcW w:w="938" w:type="dxa"/>
            <w:tcBorders>
              <w:bottom w:val="single" w:sz="4" w:space="0" w:color="auto"/>
            </w:tcBorders>
          </w:tcPr>
          <w:p w14:paraId="5C9BE8C6" w14:textId="06615935" w:rsidR="00CF0E26" w:rsidRPr="005B3573" w:rsidRDefault="00DE3BE3" w:rsidP="00CF0E26">
            <w:pPr>
              <w:pStyle w:val="TableTextL"/>
              <w:jc w:val="center"/>
            </w:pPr>
            <w:r>
              <w:t>SU</w:t>
            </w:r>
          </w:p>
        </w:tc>
      </w:tr>
      <w:tr w:rsidR="00DE3BE3" w:rsidRPr="005B3573" w14:paraId="22A18333" w14:textId="77777777" w:rsidTr="003060D2">
        <w:trPr>
          <w:jc w:val="center"/>
        </w:trPr>
        <w:tc>
          <w:tcPr>
            <w:tcW w:w="5856" w:type="dxa"/>
            <w:tcBorders>
              <w:bottom w:val="single" w:sz="4" w:space="0" w:color="auto"/>
            </w:tcBorders>
          </w:tcPr>
          <w:p w14:paraId="3B777EC4" w14:textId="77777777" w:rsidR="00DE3BE3" w:rsidRPr="00DE3BE3" w:rsidRDefault="00DE3BE3" w:rsidP="00DE3BE3">
            <w:pPr>
              <w:pStyle w:val="TableTextL"/>
              <w:rPr>
                <w:b/>
                <w:bCs/>
              </w:rPr>
            </w:pPr>
            <w:r w:rsidRPr="00DE3BE3">
              <w:rPr>
                <w:b/>
                <w:bCs/>
              </w:rPr>
              <w:t>Impact AQ-5: Expose People to Objectionable Odors from Diesel Exhaust</w:t>
            </w:r>
          </w:p>
          <w:p w14:paraId="1894AD62" w14:textId="7246E617" w:rsidR="00DE3BE3" w:rsidRPr="00931675" w:rsidRDefault="00DE3BE3" w:rsidP="00DE3BE3">
            <w:pPr>
              <w:pStyle w:val="TableTextL"/>
            </w:pPr>
            <w:r>
              <w:t>While the use of diesel-powered equipment during treatment activities performed under the CalVTP could result in temporary emissions of odorous diesel exhaust, it is not anticipated that this the levels of diesel exhaust would be excessive, nor would it affect a substantial number of people. This would be a less-than-significant impact.</w:t>
            </w:r>
          </w:p>
        </w:tc>
        <w:tc>
          <w:tcPr>
            <w:tcW w:w="993" w:type="dxa"/>
            <w:tcBorders>
              <w:bottom w:val="single" w:sz="4" w:space="0" w:color="auto"/>
            </w:tcBorders>
          </w:tcPr>
          <w:p w14:paraId="1ACC51F5" w14:textId="4E59B902" w:rsidR="00DE3BE3" w:rsidRPr="005B3573" w:rsidRDefault="00DE3BE3" w:rsidP="00DE3BE3">
            <w:pPr>
              <w:pStyle w:val="TableTextL"/>
              <w:jc w:val="center"/>
            </w:pPr>
            <w:r>
              <w:t>LTS</w:t>
            </w:r>
          </w:p>
        </w:tc>
        <w:tc>
          <w:tcPr>
            <w:tcW w:w="5893" w:type="dxa"/>
            <w:tcBorders>
              <w:bottom w:val="single" w:sz="4" w:space="0" w:color="auto"/>
            </w:tcBorders>
          </w:tcPr>
          <w:p w14:paraId="2B70F72D" w14:textId="631B6275" w:rsidR="00DE3BE3" w:rsidRPr="005B3573" w:rsidRDefault="00DE3BE3" w:rsidP="00DE3BE3">
            <w:pPr>
              <w:pStyle w:val="TableTextL"/>
            </w:pPr>
            <w:r>
              <w:t>No mitigation is required.</w:t>
            </w:r>
          </w:p>
        </w:tc>
        <w:tc>
          <w:tcPr>
            <w:tcW w:w="938" w:type="dxa"/>
            <w:tcBorders>
              <w:bottom w:val="single" w:sz="4" w:space="0" w:color="auto"/>
            </w:tcBorders>
          </w:tcPr>
          <w:p w14:paraId="27C744A7" w14:textId="2C9D0F73" w:rsidR="00DE3BE3" w:rsidRPr="005B3573" w:rsidRDefault="00DE3BE3" w:rsidP="00DE3BE3">
            <w:pPr>
              <w:pStyle w:val="TableTextL"/>
              <w:jc w:val="center"/>
            </w:pPr>
            <w:r>
              <w:t>LTS</w:t>
            </w:r>
          </w:p>
        </w:tc>
      </w:tr>
      <w:tr w:rsidR="00507C7E" w:rsidRPr="005B3573" w14:paraId="68798752" w14:textId="77777777" w:rsidTr="002B7098">
        <w:trPr>
          <w:jc w:val="center"/>
        </w:trPr>
        <w:tc>
          <w:tcPr>
            <w:tcW w:w="5856" w:type="dxa"/>
          </w:tcPr>
          <w:p w14:paraId="7117B3CC" w14:textId="77777777" w:rsidR="00507C7E" w:rsidRPr="00DE3BE3" w:rsidRDefault="00507C7E" w:rsidP="00507C7E">
            <w:pPr>
              <w:pStyle w:val="TableTextL"/>
              <w:rPr>
                <w:b/>
                <w:bCs/>
              </w:rPr>
            </w:pPr>
            <w:r w:rsidRPr="00DE3BE3">
              <w:rPr>
                <w:b/>
                <w:bCs/>
              </w:rPr>
              <w:t>Impact AQ-6: Expose People to Objectionable Odors from Smoke During Prescribed Burning</w:t>
            </w:r>
          </w:p>
          <w:p w14:paraId="54B3E71E" w14:textId="35598D66" w:rsidR="00507C7E" w:rsidRPr="00931675" w:rsidRDefault="00507C7E" w:rsidP="00507C7E">
            <w:pPr>
              <w:pStyle w:val="TableTextL"/>
            </w:pPr>
            <w:r>
              <w:t>Prescribed burns conducted under the CalVTP could result in the short-term exposure of a substantial number of people to odorous smoke. This would be a potentially significant impact.</w:t>
            </w:r>
          </w:p>
        </w:tc>
        <w:tc>
          <w:tcPr>
            <w:tcW w:w="993" w:type="dxa"/>
          </w:tcPr>
          <w:p w14:paraId="14B64A09" w14:textId="54523812" w:rsidR="00507C7E" w:rsidRPr="005B3573" w:rsidRDefault="00507C7E" w:rsidP="00507C7E">
            <w:pPr>
              <w:pStyle w:val="TableTextL"/>
              <w:jc w:val="center"/>
            </w:pPr>
            <w:r>
              <w:t>PS</w:t>
            </w:r>
          </w:p>
        </w:tc>
        <w:tc>
          <w:tcPr>
            <w:tcW w:w="5893" w:type="dxa"/>
          </w:tcPr>
          <w:p w14:paraId="3042F078" w14:textId="7CEBADCC" w:rsidR="00507C7E" w:rsidRPr="005B3573" w:rsidRDefault="009B3F06" w:rsidP="00507C7E">
            <w:pPr>
              <w:pStyle w:val="TableTextL"/>
            </w:pPr>
            <w:r>
              <w:t>Additional measures are not feasible</w:t>
            </w:r>
            <w:r w:rsidR="00507C7E">
              <w:t>.</w:t>
            </w:r>
          </w:p>
        </w:tc>
        <w:tc>
          <w:tcPr>
            <w:tcW w:w="938" w:type="dxa"/>
          </w:tcPr>
          <w:p w14:paraId="13100416" w14:textId="5FA7F349" w:rsidR="00507C7E" w:rsidRPr="005B3573" w:rsidRDefault="00507C7E" w:rsidP="00507C7E">
            <w:pPr>
              <w:pStyle w:val="TableTextL"/>
              <w:jc w:val="center"/>
            </w:pPr>
            <w:r>
              <w:t>SU</w:t>
            </w:r>
          </w:p>
        </w:tc>
      </w:tr>
      <w:tr w:rsidR="00507C7E" w:rsidRPr="005B3573" w14:paraId="75AA0398" w14:textId="77777777" w:rsidTr="003060D2">
        <w:trPr>
          <w:jc w:val="center"/>
        </w:trPr>
        <w:tc>
          <w:tcPr>
            <w:tcW w:w="5856" w:type="dxa"/>
            <w:tcBorders>
              <w:top w:val="single" w:sz="4" w:space="0" w:color="auto"/>
              <w:right w:val="nil"/>
            </w:tcBorders>
            <w:shd w:val="clear" w:color="auto" w:fill="F2F2F2" w:themeFill="background1" w:themeFillShade="F2"/>
          </w:tcPr>
          <w:p w14:paraId="2CD498AB" w14:textId="77777777" w:rsidR="00507C7E" w:rsidRPr="00931675" w:rsidRDefault="00507C7E" w:rsidP="00507C7E">
            <w:pPr>
              <w:pStyle w:val="TableTextL"/>
              <w:keepNext/>
              <w:rPr>
                <w:b/>
              </w:rPr>
            </w:pPr>
            <w:r w:rsidRPr="00931675">
              <w:rPr>
                <w:b/>
              </w:rPr>
              <w:lastRenderedPageBreak/>
              <w:t>Archaeological, Historical, and Tribal Cultural Resources</w:t>
            </w:r>
          </w:p>
        </w:tc>
        <w:tc>
          <w:tcPr>
            <w:tcW w:w="993" w:type="dxa"/>
            <w:tcBorders>
              <w:top w:val="single" w:sz="4" w:space="0" w:color="auto"/>
              <w:left w:val="nil"/>
              <w:right w:val="nil"/>
            </w:tcBorders>
            <w:shd w:val="clear" w:color="auto" w:fill="F2F2F2" w:themeFill="background1" w:themeFillShade="F2"/>
          </w:tcPr>
          <w:p w14:paraId="72F19F9A" w14:textId="77777777" w:rsidR="00507C7E" w:rsidRPr="005B3573" w:rsidRDefault="00507C7E" w:rsidP="00507C7E">
            <w:pPr>
              <w:pStyle w:val="TableTextL"/>
              <w:jc w:val="center"/>
              <w:rPr>
                <w:b/>
              </w:rPr>
            </w:pPr>
          </w:p>
        </w:tc>
        <w:tc>
          <w:tcPr>
            <w:tcW w:w="5893" w:type="dxa"/>
            <w:tcBorders>
              <w:top w:val="single" w:sz="4" w:space="0" w:color="auto"/>
              <w:left w:val="nil"/>
              <w:right w:val="nil"/>
            </w:tcBorders>
            <w:shd w:val="clear" w:color="auto" w:fill="F2F2F2" w:themeFill="background1" w:themeFillShade="F2"/>
          </w:tcPr>
          <w:p w14:paraId="3A84BBB9" w14:textId="77777777" w:rsidR="00507C7E" w:rsidRPr="005B3573" w:rsidRDefault="00507C7E" w:rsidP="00507C7E">
            <w:pPr>
              <w:pStyle w:val="TableTextL"/>
              <w:rPr>
                <w:b/>
              </w:rPr>
            </w:pPr>
          </w:p>
        </w:tc>
        <w:tc>
          <w:tcPr>
            <w:tcW w:w="938" w:type="dxa"/>
            <w:tcBorders>
              <w:top w:val="single" w:sz="4" w:space="0" w:color="auto"/>
              <w:left w:val="nil"/>
            </w:tcBorders>
            <w:shd w:val="clear" w:color="auto" w:fill="F2F2F2" w:themeFill="background1" w:themeFillShade="F2"/>
          </w:tcPr>
          <w:p w14:paraId="11228DE3" w14:textId="77777777" w:rsidR="00507C7E" w:rsidRPr="005B3573" w:rsidRDefault="00507C7E" w:rsidP="00507C7E">
            <w:pPr>
              <w:pStyle w:val="TableTextL"/>
              <w:jc w:val="center"/>
              <w:rPr>
                <w:b/>
              </w:rPr>
            </w:pPr>
          </w:p>
        </w:tc>
      </w:tr>
      <w:tr w:rsidR="00E81E00" w:rsidRPr="005B3573" w14:paraId="7C326419" w14:textId="77777777" w:rsidTr="003060D2">
        <w:trPr>
          <w:jc w:val="center"/>
        </w:trPr>
        <w:tc>
          <w:tcPr>
            <w:tcW w:w="5856" w:type="dxa"/>
          </w:tcPr>
          <w:p w14:paraId="7A318D74" w14:textId="77777777" w:rsidR="00E81E00" w:rsidRPr="00E81E00" w:rsidRDefault="00E81E00" w:rsidP="00E81E00">
            <w:pPr>
              <w:pStyle w:val="TableTextL"/>
              <w:keepNext/>
              <w:rPr>
                <w:b/>
                <w:bCs/>
              </w:rPr>
            </w:pPr>
            <w:r w:rsidRPr="00E81E00">
              <w:rPr>
                <w:b/>
                <w:bCs/>
              </w:rPr>
              <w:t>Impact CUL-1: Cause a Substantial Adverse Change in the Significance of Built Historical Resources</w:t>
            </w:r>
          </w:p>
          <w:p w14:paraId="1658DF06" w14:textId="61AC4D81" w:rsidR="00E81E00" w:rsidRPr="00931675" w:rsidRDefault="00E81E00" w:rsidP="00E81E00">
            <w:pPr>
              <w:pStyle w:val="TableTextL"/>
              <w:keepNext/>
            </w:pPr>
            <w:r>
              <w:t>Vegetation treatment under the CalVTP could occur on lands that contain built historical resources. Implementation of SPRs CUL-1, CUL-</w:t>
            </w:r>
            <w:r w:rsidR="0069687A" w:rsidRPr="00C07C7B">
              <w:rPr>
                <w:u w:val="single"/>
              </w:rPr>
              <w:t>7</w:t>
            </w:r>
            <w:r w:rsidRPr="00C07C7B">
              <w:rPr>
                <w:strike/>
              </w:rPr>
              <w:t>6</w:t>
            </w:r>
            <w:r>
              <w:t>, and CUL-</w:t>
            </w:r>
            <w:r w:rsidR="0069687A" w:rsidRPr="00C07C7B">
              <w:rPr>
                <w:u w:val="single"/>
              </w:rPr>
              <w:t>8</w:t>
            </w:r>
            <w:r w:rsidRPr="00C07C7B">
              <w:rPr>
                <w:strike/>
              </w:rPr>
              <w:t>7</w:t>
            </w:r>
            <w:r>
              <w:t>, would avoid any substantial adverse change to any built historical resources. This impact would be less than significant.</w:t>
            </w:r>
          </w:p>
        </w:tc>
        <w:tc>
          <w:tcPr>
            <w:tcW w:w="993" w:type="dxa"/>
          </w:tcPr>
          <w:p w14:paraId="6A70A5F2" w14:textId="7823DE0F" w:rsidR="00E81E00" w:rsidRPr="005B3573" w:rsidRDefault="00E81E00" w:rsidP="00E81E00">
            <w:pPr>
              <w:pStyle w:val="TableTextL"/>
              <w:jc w:val="center"/>
            </w:pPr>
            <w:r>
              <w:t>LTS</w:t>
            </w:r>
          </w:p>
        </w:tc>
        <w:tc>
          <w:tcPr>
            <w:tcW w:w="5893" w:type="dxa"/>
          </w:tcPr>
          <w:p w14:paraId="7E9B1AAA" w14:textId="130ADE50" w:rsidR="00E81E00" w:rsidRPr="005B3573" w:rsidRDefault="00E81E00" w:rsidP="00E81E00">
            <w:pPr>
              <w:pStyle w:val="TableTextL"/>
            </w:pPr>
            <w:r>
              <w:t>No mitigation is required.</w:t>
            </w:r>
          </w:p>
        </w:tc>
        <w:tc>
          <w:tcPr>
            <w:tcW w:w="938" w:type="dxa"/>
          </w:tcPr>
          <w:p w14:paraId="1F5ADF3A" w14:textId="22FF5617" w:rsidR="00E81E00" w:rsidRPr="005B3573" w:rsidRDefault="00E81E00" w:rsidP="00E81E00">
            <w:pPr>
              <w:pStyle w:val="TableTextL"/>
              <w:jc w:val="center"/>
            </w:pPr>
            <w:r>
              <w:t>LTS</w:t>
            </w:r>
          </w:p>
        </w:tc>
      </w:tr>
      <w:tr w:rsidR="00E81E00" w:rsidRPr="005B3573" w14:paraId="46D89BFE" w14:textId="77777777" w:rsidTr="003060D2">
        <w:trPr>
          <w:jc w:val="center"/>
        </w:trPr>
        <w:tc>
          <w:tcPr>
            <w:tcW w:w="5856" w:type="dxa"/>
          </w:tcPr>
          <w:p w14:paraId="39A216E6" w14:textId="77777777" w:rsidR="00B94D15" w:rsidRPr="00B94D15" w:rsidRDefault="00B94D15" w:rsidP="00B94D15">
            <w:pPr>
              <w:pStyle w:val="TableTextL"/>
              <w:rPr>
                <w:b/>
                <w:bCs/>
              </w:rPr>
            </w:pPr>
            <w:r w:rsidRPr="00B94D15">
              <w:rPr>
                <w:b/>
                <w:bCs/>
              </w:rPr>
              <w:t>Impact CUL-2: Cause a Substantial Adverse Change in the Significance of Unique Archaeological Resources or Subsurface Historical Resources</w:t>
            </w:r>
          </w:p>
          <w:p w14:paraId="3436FD7B" w14:textId="2A264321" w:rsidR="00E81E00" w:rsidRPr="00931675" w:rsidRDefault="00B94D15" w:rsidP="00B94D15">
            <w:pPr>
              <w:pStyle w:val="TableTextL"/>
            </w:pPr>
            <w:r>
              <w:t>Vegetation treatment under the CalVTP could occur on lands that contain resources that may qualify as unique archaeological resources or subsurface historical resources. The CalVTP primarily involves treatment activities that either require no soil disturbance or very shallow soil disturbance; however, it is possible that unique archaeological or subsurface historical resources would be disturbed during treatment activities. SPRs CUL-1 through CUL-5 and SPR CUL-</w:t>
            </w:r>
            <w:r w:rsidR="0069687A" w:rsidRPr="00C07C7B">
              <w:rPr>
                <w:u w:val="single"/>
              </w:rPr>
              <w:t>8</w:t>
            </w:r>
            <w:r w:rsidRPr="00C07C7B">
              <w:rPr>
                <w:strike/>
              </w:rPr>
              <w:t>7</w:t>
            </w:r>
            <w:r>
              <w:t xml:space="preserve"> require a records search, pre-field research, an archaeological survey, coordination with Native American groups, worker training to recognize sensitive cultural resources, and avoiding or protecting known resources. Despite implementation of these SPRs, unknown unique archaeological resources or subsurface historical resources could be inadvertently damaged during treatment activities. This would be a potentially significant impact.</w:t>
            </w:r>
          </w:p>
        </w:tc>
        <w:tc>
          <w:tcPr>
            <w:tcW w:w="993" w:type="dxa"/>
          </w:tcPr>
          <w:p w14:paraId="3CA72ED3" w14:textId="22AA6F9A" w:rsidR="00E81E00" w:rsidRPr="005B3573" w:rsidRDefault="00B94D15" w:rsidP="00E81E00">
            <w:pPr>
              <w:pStyle w:val="TableTextL"/>
              <w:jc w:val="center"/>
            </w:pPr>
            <w:r>
              <w:t>PS</w:t>
            </w:r>
          </w:p>
        </w:tc>
        <w:tc>
          <w:tcPr>
            <w:tcW w:w="5893" w:type="dxa"/>
          </w:tcPr>
          <w:p w14:paraId="0D1D4712" w14:textId="77777777" w:rsidR="00BE5A50" w:rsidRPr="00BE5A50" w:rsidRDefault="00BE5A50" w:rsidP="00BE5A50">
            <w:pPr>
              <w:pStyle w:val="TableTextL"/>
              <w:rPr>
                <w:b/>
              </w:rPr>
            </w:pPr>
            <w:r w:rsidRPr="00BE5A50">
              <w:rPr>
                <w:b/>
              </w:rPr>
              <w:t>Mitigation Measure CUL-2: Protect Inadvertent Discoveries of Unique Archaeological Resources or Subsurface Historical Resources</w:t>
            </w:r>
          </w:p>
          <w:p w14:paraId="74BC3801" w14:textId="30C6C538" w:rsidR="00E81E00" w:rsidRPr="005B3573" w:rsidRDefault="00BE5A50" w:rsidP="00BE5A50">
            <w:pPr>
              <w:pStyle w:val="TableTextL"/>
            </w:pPr>
            <w:r>
              <w:t xml:space="preserve">If </w:t>
            </w:r>
            <w:r w:rsidRPr="00DD0EED">
              <w:t>any prehistoric or historic-era subsurface archaeological features or deposits, including locally darkened soil (</w:t>
            </w:r>
            <w:r>
              <w:t>“</w:t>
            </w:r>
            <w:r w:rsidRPr="00DD0EED">
              <w:t>midden</w:t>
            </w:r>
            <w:r>
              <w:t>”</w:t>
            </w:r>
            <w:r w:rsidRPr="00DD0EED">
              <w:t>), that could conceal cultural deposits</w:t>
            </w:r>
            <w:r>
              <w:t xml:space="preserve">, are discovered during ground-disturbing activities, </w:t>
            </w:r>
            <w:r w:rsidRPr="00DD0EED">
              <w:t xml:space="preserve">all ground-disturbing activity within 100 feet of the resources </w:t>
            </w:r>
            <w:r>
              <w:t>will</w:t>
            </w:r>
            <w:r w:rsidRPr="00DD0EED">
              <w:t xml:space="preserve"> be halted and a qualified archaeologist </w:t>
            </w:r>
            <w:r w:rsidRPr="00C07C7B">
              <w:rPr>
                <w:strike/>
              </w:rPr>
              <w:t xml:space="preserve">or archaeologically trained resource professional </w:t>
            </w:r>
            <w:r w:rsidRPr="000C37EB">
              <w:t xml:space="preserve">will assess the significance of the find. The qualified archaeologist will work with the project proponent to develop a primary records report that will comply with </w:t>
            </w:r>
            <w:r w:rsidRPr="00C07C7B">
              <w:rPr>
                <w:strike/>
              </w:rPr>
              <w:t>the current “Archaeological Review Procedures for CAL FIRE Projects” or equivalent</w:t>
            </w:r>
            <w:r w:rsidR="00C07C7B">
              <w:rPr>
                <w:strike/>
              </w:rPr>
              <w:t xml:space="preserve"> </w:t>
            </w:r>
            <w:r w:rsidRPr="00C07C7B">
              <w:rPr>
                <w:u w:val="single"/>
              </w:rPr>
              <w:t>applicable</w:t>
            </w:r>
            <w:r w:rsidRPr="000C37EB">
              <w:t xml:space="preserve"> state or local agency procedures</w:t>
            </w:r>
            <w:r w:rsidRPr="00C07C7B">
              <w:rPr>
                <w:strike/>
              </w:rPr>
              <w:t>, if applicable</w:t>
            </w:r>
            <w:r w:rsidRPr="000C37EB">
              <w:t xml:space="preserve">. If the archaeologist determines that further information is needed to evaluate significance, a data recovery plan will be prepared. If the find is determined to be significant by the qualified archaeologist (i.e., because the </w:t>
            </w:r>
            <w:r w:rsidRPr="001E488F">
              <w:t>find constitute</w:t>
            </w:r>
            <w:r>
              <w:t>s</w:t>
            </w:r>
            <w:r w:rsidRPr="001E488F">
              <w:t xml:space="preserve"> a unique archaeological resource</w:t>
            </w:r>
            <w:r>
              <w:t>, subsurface historical resource, or tribal cultural resource</w:t>
            </w:r>
            <w:r w:rsidRPr="001E488F">
              <w:t xml:space="preserve">), the archaeologist </w:t>
            </w:r>
            <w:r>
              <w:t>will</w:t>
            </w:r>
            <w:r w:rsidRPr="001E488F">
              <w:t xml:space="preserve"> work with the project </w:t>
            </w:r>
            <w:r>
              <w:t>proponent</w:t>
            </w:r>
            <w:r w:rsidRPr="001E488F">
              <w:t xml:space="preserve"> </w:t>
            </w:r>
            <w:r>
              <w:t xml:space="preserve">to </w:t>
            </w:r>
            <w:r w:rsidRPr="00DD0EED">
              <w:t>develop appropriate procedures to protect the integrity of the resource. Procedures could include preservation in place</w:t>
            </w:r>
            <w:r>
              <w:t xml:space="preserve"> (which is the preferred manner of mitigating impacts to archaeological sites)</w:t>
            </w:r>
            <w:r w:rsidRPr="00DD0EED">
              <w:t xml:space="preserve">, archival research, subsurface testing, or </w:t>
            </w:r>
            <w:r>
              <w:t>recovery of scientifically consequential information from and about the resource</w:t>
            </w:r>
            <w:r w:rsidRPr="006E3F23">
              <w:t xml:space="preserve">. </w:t>
            </w:r>
            <w:r>
              <w:t>A</w:t>
            </w:r>
            <w:r w:rsidRPr="00A44D2B">
              <w:t>ny find will be</w:t>
            </w:r>
            <w:r>
              <w:t xml:space="preserve"> recorded</w:t>
            </w:r>
            <w:r w:rsidRPr="00A44D2B">
              <w:t xml:space="preserve"> standard DPR Primary Record forms (Form DPR 523) </w:t>
            </w:r>
            <w:r>
              <w:t>will be</w:t>
            </w:r>
            <w:r w:rsidRPr="00A44D2B">
              <w:t xml:space="preserve"> submitt</w:t>
            </w:r>
            <w:r>
              <w:t>ed</w:t>
            </w:r>
            <w:r w:rsidRPr="00A44D2B">
              <w:t xml:space="preserve"> to the appropriate regional information center.</w:t>
            </w:r>
          </w:p>
        </w:tc>
        <w:tc>
          <w:tcPr>
            <w:tcW w:w="938" w:type="dxa"/>
          </w:tcPr>
          <w:p w14:paraId="73BD7905" w14:textId="02A2A4C4" w:rsidR="00E81E00" w:rsidRPr="005B3573" w:rsidRDefault="00B94D15" w:rsidP="00E81E00">
            <w:pPr>
              <w:pStyle w:val="TableTextL"/>
              <w:jc w:val="center"/>
            </w:pPr>
            <w:r>
              <w:t>SU</w:t>
            </w:r>
          </w:p>
        </w:tc>
      </w:tr>
      <w:tr w:rsidR="00E81E00" w:rsidRPr="005B3573" w14:paraId="2A1922B3" w14:textId="77777777" w:rsidTr="003060D2">
        <w:trPr>
          <w:jc w:val="center"/>
        </w:trPr>
        <w:tc>
          <w:tcPr>
            <w:tcW w:w="5856" w:type="dxa"/>
          </w:tcPr>
          <w:p w14:paraId="58DCC826" w14:textId="77777777" w:rsidR="00E509EA" w:rsidRPr="00E509EA" w:rsidRDefault="00E509EA" w:rsidP="00E509EA">
            <w:pPr>
              <w:pStyle w:val="TableTextL"/>
              <w:rPr>
                <w:b/>
                <w:bCs/>
              </w:rPr>
            </w:pPr>
            <w:r w:rsidRPr="00E509EA">
              <w:rPr>
                <w:b/>
                <w:bCs/>
              </w:rPr>
              <w:t>Impact CUL-3: Cause a Substantial Adverse Change in the Significance of a Tribal Cultural Resource</w:t>
            </w:r>
          </w:p>
          <w:p w14:paraId="58CFC5C1" w14:textId="366D0A54" w:rsidR="00E81E00" w:rsidRPr="00931675" w:rsidRDefault="0069687A" w:rsidP="00E509EA">
            <w:pPr>
              <w:pStyle w:val="TableTextL"/>
            </w:pPr>
            <w:r>
              <w:rPr>
                <w:rFonts w:eastAsia="Calibri" w:cs="Arial"/>
                <w:szCs w:val="24"/>
              </w:rPr>
              <w:t xml:space="preserve">The Board </w:t>
            </w:r>
            <w:r>
              <w:t xml:space="preserve">sent letters to 12 Native American tribes on </w:t>
            </w:r>
            <w:r w:rsidRPr="00CB65D5">
              <w:t>February 9</w:t>
            </w:r>
            <w:r w:rsidRPr="0041091A">
              <w:t>, 2019</w:t>
            </w:r>
            <w:r>
              <w:t xml:space="preserve">, notifying each that the PEIR was being prepared under CEQA, as required by PRC 21080.3.1. Four tribes requested initiation of tribal consultation. Tribal consultation </w:t>
            </w:r>
            <w:r w:rsidRPr="00C07C7B">
              <w:rPr>
                <w:strike/>
              </w:rPr>
              <w:t xml:space="preserve">is ongoing, </w:t>
            </w:r>
            <w:r w:rsidRPr="00C07C7B">
              <w:rPr>
                <w:strike/>
              </w:rPr>
              <w:lastRenderedPageBreak/>
              <w:t>but not yet complete and could result in the identification of tribal cultural resources as described under</w:t>
            </w:r>
            <w:r w:rsidR="00C07C7B">
              <w:rPr>
                <w:strike/>
              </w:rPr>
              <w:t xml:space="preserve"> </w:t>
            </w:r>
            <w:r w:rsidRPr="00C07C7B">
              <w:rPr>
                <w:u w:val="single"/>
              </w:rPr>
              <w:t>has been completed with these tribes pursuant to</w:t>
            </w:r>
            <w:r>
              <w:t xml:space="preserve"> PRC Section 21074. </w:t>
            </w:r>
            <w:r w:rsidRPr="00C07C7B">
              <w:rPr>
                <w:u w:val="single"/>
              </w:rPr>
              <w:t xml:space="preserve">No </w:t>
            </w:r>
            <w:proofErr w:type="spellStart"/>
            <w:r w:rsidRPr="00C07C7B">
              <w:rPr>
                <w:u w:val="single"/>
              </w:rPr>
              <w:t>t</w:t>
            </w:r>
            <w:r w:rsidRPr="00C07C7B">
              <w:rPr>
                <w:strike/>
              </w:rPr>
              <w:t>T</w:t>
            </w:r>
            <w:r>
              <w:t>ribal</w:t>
            </w:r>
            <w:proofErr w:type="spellEnd"/>
            <w:r>
              <w:t xml:space="preserve"> cultural resources </w:t>
            </w:r>
            <w:r w:rsidRPr="00C07C7B">
              <w:rPr>
                <w:strike/>
              </w:rPr>
              <w:t>may be</w:t>
            </w:r>
            <w:r w:rsidR="00C07C7B">
              <w:rPr>
                <w:strike/>
              </w:rPr>
              <w:t xml:space="preserve"> </w:t>
            </w:r>
            <w:r w:rsidRPr="00C07C7B">
              <w:rPr>
                <w:u w:val="single"/>
              </w:rPr>
              <w:t>were</w:t>
            </w:r>
            <w:r>
              <w:t xml:space="preserve"> identified </w:t>
            </w:r>
            <w:r w:rsidRPr="00C07C7B">
              <w:rPr>
                <w:strike/>
              </w:rPr>
              <w:t xml:space="preserve">within the treatable landscape </w:t>
            </w:r>
            <w:r>
              <w:t>during consultation</w:t>
            </w:r>
            <w:r w:rsidRPr="00C07C7B">
              <w:rPr>
                <w:u w:val="single"/>
              </w:rPr>
              <w:t>. I</w:t>
            </w:r>
            <w:r w:rsidRPr="00C07C7B">
              <w:rPr>
                <w:rFonts w:eastAsia="Calibri" w:cs="Times New Roman"/>
                <w:u w:val="single"/>
              </w:rPr>
              <w:t xml:space="preserve">mplementation of SPRs CUL-1 through CUL-6 and SPR CUL-8, would avoid any substantial adverse change to tribal cultural resources. </w:t>
            </w:r>
            <w:r w:rsidRPr="00C07C7B">
              <w:rPr>
                <w:strike/>
              </w:rPr>
              <w:t xml:space="preserve"> and could be affected by treatments implemented under the proposed CalVTP. </w:t>
            </w:r>
            <w:r>
              <w:t xml:space="preserve">This </w:t>
            </w:r>
            <w:r w:rsidRPr="00C07C7B">
              <w:rPr>
                <w:u w:val="single"/>
              </w:rPr>
              <w:t>impact</w:t>
            </w:r>
            <w:r>
              <w:t xml:space="preserve"> would be </w:t>
            </w:r>
            <w:r w:rsidRPr="00C07C7B">
              <w:rPr>
                <w:strike/>
              </w:rPr>
              <w:t xml:space="preserve">a </w:t>
            </w:r>
            <w:r w:rsidRPr="00C07C7B">
              <w:rPr>
                <w:b/>
                <w:strike/>
              </w:rPr>
              <w:t>potentially significant</w:t>
            </w:r>
            <w:r w:rsidRPr="00C07C7B">
              <w:rPr>
                <w:strike/>
              </w:rPr>
              <w:t xml:space="preserve"> impact</w:t>
            </w:r>
            <w:r w:rsidR="00C07C7B">
              <w:rPr>
                <w:strike/>
              </w:rPr>
              <w:t xml:space="preserve"> </w:t>
            </w:r>
            <w:r w:rsidRPr="00C07C7B">
              <w:rPr>
                <w:b/>
                <w:u w:val="single"/>
              </w:rPr>
              <w:t>less than significant</w:t>
            </w:r>
            <w:r>
              <w:t>.</w:t>
            </w:r>
          </w:p>
        </w:tc>
        <w:tc>
          <w:tcPr>
            <w:tcW w:w="993" w:type="dxa"/>
          </w:tcPr>
          <w:p w14:paraId="35E27034" w14:textId="1827150C" w:rsidR="00E81E00" w:rsidRPr="005B3573" w:rsidRDefault="00E509EA" w:rsidP="00E81E00">
            <w:pPr>
              <w:pStyle w:val="TableTextL"/>
              <w:jc w:val="center"/>
            </w:pPr>
            <w:r w:rsidRPr="00C07C7B">
              <w:rPr>
                <w:strike/>
              </w:rPr>
              <w:lastRenderedPageBreak/>
              <w:t>PS</w:t>
            </w:r>
            <w:r w:rsidR="0069687A" w:rsidRPr="00C07C7B">
              <w:rPr>
                <w:u w:val="single"/>
              </w:rPr>
              <w:t>LTS</w:t>
            </w:r>
          </w:p>
        </w:tc>
        <w:tc>
          <w:tcPr>
            <w:tcW w:w="5893" w:type="dxa"/>
          </w:tcPr>
          <w:p w14:paraId="119AFED0" w14:textId="26037DA1" w:rsidR="00E509EA" w:rsidRPr="00C07C7B" w:rsidRDefault="0069687A" w:rsidP="00E509EA">
            <w:pPr>
              <w:pStyle w:val="TableTextL"/>
              <w:rPr>
                <w:b/>
                <w:bCs/>
                <w:strike/>
              </w:rPr>
            </w:pPr>
            <w:r w:rsidRPr="00C07C7B">
              <w:rPr>
                <w:u w:val="single"/>
              </w:rPr>
              <w:t>No mitigation is required.</w:t>
            </w:r>
            <w:r w:rsidR="00B023EC">
              <w:rPr>
                <w:u w:val="single"/>
              </w:rPr>
              <w:t xml:space="preserve"> </w:t>
            </w:r>
            <w:r w:rsidR="00E509EA" w:rsidRPr="00C07C7B">
              <w:rPr>
                <w:b/>
                <w:bCs/>
                <w:strike/>
              </w:rPr>
              <w:t>Mitigation Measure CUL-3: Complete Tribal Consultation (PRC Section 21080.3.1) and Avoid Potential Effects on Tribal Cultural Resources</w:t>
            </w:r>
          </w:p>
          <w:p w14:paraId="022E245E" w14:textId="0BFEF50F" w:rsidR="00E509EA" w:rsidRPr="00C07C7B" w:rsidRDefault="00E509EA" w:rsidP="00E509EA">
            <w:pPr>
              <w:pStyle w:val="TableTextL"/>
              <w:rPr>
                <w:strike/>
              </w:rPr>
            </w:pPr>
            <w:r w:rsidRPr="00C07C7B">
              <w:rPr>
                <w:strike/>
              </w:rPr>
              <w:t xml:space="preserve">The Board of Forestry and Fire Protection will complete tribal consultation pursuant to PRC Section 21080.3.1 </w:t>
            </w:r>
          </w:p>
          <w:p w14:paraId="3F35E378" w14:textId="02F238B3" w:rsidR="00E509EA" w:rsidRPr="00C07C7B" w:rsidRDefault="00E509EA" w:rsidP="00E509EA">
            <w:pPr>
              <w:pStyle w:val="TableTextL"/>
              <w:rPr>
                <w:strike/>
              </w:rPr>
            </w:pPr>
            <w:r w:rsidRPr="00C07C7B">
              <w:rPr>
                <w:strike/>
              </w:rPr>
              <w:lastRenderedPageBreak/>
              <w:t xml:space="preserve">If no tribal cultural resource is identified during consultation, no further mitigation is required. </w:t>
            </w:r>
          </w:p>
          <w:p w14:paraId="11644AB7" w14:textId="2242C69D" w:rsidR="00E509EA" w:rsidRPr="00C07C7B" w:rsidRDefault="00E509EA" w:rsidP="00E509EA">
            <w:pPr>
              <w:pStyle w:val="TableTextL"/>
              <w:rPr>
                <w:strike/>
              </w:rPr>
            </w:pPr>
            <w:r w:rsidRPr="00C07C7B">
              <w:rPr>
                <w:strike/>
              </w:rPr>
              <w:t>If the project proponent determines that a treatment may cause a substantial adverse change to a tribal cultural resource, and measures to protect the resource are not otherwise identified in the consultation process, provisions under PRC Section 21084.3(b) describe mitigation measures that may avoid or minimize the significant adverse impacts. Examples include:</w:t>
            </w:r>
          </w:p>
          <w:p w14:paraId="4F9309F9" w14:textId="1A6CED50" w:rsidR="00E509EA" w:rsidRPr="00C07C7B" w:rsidRDefault="00E509EA" w:rsidP="00E509EA">
            <w:pPr>
              <w:pStyle w:val="TableTextL"/>
              <w:ind w:left="216" w:hanging="216"/>
              <w:rPr>
                <w:strike/>
              </w:rPr>
            </w:pPr>
            <w:r w:rsidRPr="00C07C7B">
              <w:rPr>
                <w:strike/>
              </w:rPr>
              <w:t>1.</w:t>
            </w:r>
            <w:r w:rsidRPr="00C07C7B">
              <w:rPr>
                <w:strike/>
              </w:rPr>
              <w:tab/>
              <w:t xml:space="preserve">Avoidance and preservation of the resources in place, including, but not limited to, designing the treatment to avoid the resources and protect the cultural and natural context. </w:t>
            </w:r>
          </w:p>
          <w:p w14:paraId="56F277D6" w14:textId="10F9C920" w:rsidR="00E509EA" w:rsidRPr="00C07C7B" w:rsidRDefault="00E509EA" w:rsidP="00E509EA">
            <w:pPr>
              <w:pStyle w:val="TableTextL"/>
              <w:ind w:left="216" w:hanging="216"/>
              <w:rPr>
                <w:strike/>
              </w:rPr>
            </w:pPr>
            <w:r w:rsidRPr="00C07C7B">
              <w:rPr>
                <w:strike/>
              </w:rPr>
              <w:t>2.</w:t>
            </w:r>
            <w:r w:rsidRPr="00C07C7B">
              <w:rPr>
                <w:strike/>
              </w:rPr>
              <w:tab/>
              <w:t xml:space="preserve">Treating the resource with culturally appropriate dignity taking into account the tribal cultural values and meaning of the resource, including, but not limited to, the following: </w:t>
            </w:r>
          </w:p>
          <w:p w14:paraId="2EEC398A" w14:textId="3D22F29E" w:rsidR="00E509EA" w:rsidRPr="00C07C7B" w:rsidRDefault="00E509EA" w:rsidP="00E509EA">
            <w:pPr>
              <w:pStyle w:val="TableTextL"/>
              <w:ind w:left="432" w:hanging="216"/>
              <w:rPr>
                <w:strike/>
              </w:rPr>
            </w:pPr>
            <w:r w:rsidRPr="00C07C7B">
              <w:rPr>
                <w:strike/>
              </w:rPr>
              <w:t>A.</w:t>
            </w:r>
            <w:r w:rsidRPr="00C07C7B">
              <w:rPr>
                <w:strike/>
              </w:rPr>
              <w:tab/>
              <w:t xml:space="preserve">Protecting the cultural character and integrity of the resource </w:t>
            </w:r>
          </w:p>
          <w:p w14:paraId="37683315" w14:textId="3FC0F459" w:rsidR="00E509EA" w:rsidRPr="00C07C7B" w:rsidRDefault="00E509EA" w:rsidP="00E509EA">
            <w:pPr>
              <w:pStyle w:val="TableTextL"/>
              <w:ind w:left="432" w:hanging="216"/>
              <w:rPr>
                <w:strike/>
              </w:rPr>
            </w:pPr>
            <w:r w:rsidRPr="00C07C7B">
              <w:rPr>
                <w:strike/>
              </w:rPr>
              <w:t>B.</w:t>
            </w:r>
            <w:r w:rsidRPr="00C07C7B">
              <w:rPr>
                <w:strike/>
              </w:rPr>
              <w:tab/>
              <w:t xml:space="preserve">Protecting the traditional use of the resource </w:t>
            </w:r>
          </w:p>
          <w:p w14:paraId="4AF754BB" w14:textId="686AD286" w:rsidR="00E81E00" w:rsidRPr="005B3573" w:rsidRDefault="00E509EA" w:rsidP="008C1850">
            <w:pPr>
              <w:pStyle w:val="TableTextL"/>
              <w:ind w:left="432" w:hanging="216"/>
            </w:pPr>
            <w:r w:rsidRPr="00C07C7B">
              <w:rPr>
                <w:strike/>
              </w:rPr>
              <w:t>C.</w:t>
            </w:r>
            <w:r w:rsidRPr="00C07C7B">
              <w:rPr>
                <w:strike/>
              </w:rPr>
              <w:tab/>
              <w:t xml:space="preserve">Protecting the confidentiality of the resource. </w:t>
            </w:r>
          </w:p>
        </w:tc>
        <w:tc>
          <w:tcPr>
            <w:tcW w:w="938" w:type="dxa"/>
          </w:tcPr>
          <w:p w14:paraId="0D7A5B9C" w14:textId="207EE597" w:rsidR="00E81E00" w:rsidRPr="005B3573" w:rsidRDefault="003260E2" w:rsidP="00E81E00">
            <w:pPr>
              <w:pStyle w:val="TableTextL"/>
              <w:jc w:val="center"/>
            </w:pPr>
            <w:r w:rsidRPr="00C07C7B">
              <w:rPr>
                <w:strike/>
              </w:rPr>
              <w:lastRenderedPageBreak/>
              <w:t>SU</w:t>
            </w:r>
            <w:r w:rsidR="00C07C7B">
              <w:rPr>
                <w:strike/>
              </w:rPr>
              <w:t xml:space="preserve"> </w:t>
            </w:r>
            <w:r w:rsidR="0069687A" w:rsidRPr="00C07C7B">
              <w:rPr>
                <w:u w:val="single"/>
              </w:rPr>
              <w:t>LTS</w:t>
            </w:r>
          </w:p>
        </w:tc>
      </w:tr>
      <w:tr w:rsidR="0090779A" w:rsidRPr="005B3573" w14:paraId="7886C340" w14:textId="77777777" w:rsidTr="003060D2">
        <w:trPr>
          <w:jc w:val="center"/>
        </w:trPr>
        <w:tc>
          <w:tcPr>
            <w:tcW w:w="5856" w:type="dxa"/>
          </w:tcPr>
          <w:p w14:paraId="190B7C58" w14:textId="77777777" w:rsidR="0090779A" w:rsidRPr="0090779A" w:rsidRDefault="0090779A" w:rsidP="0090779A">
            <w:pPr>
              <w:pStyle w:val="TableTextL"/>
              <w:rPr>
                <w:b/>
                <w:bCs/>
              </w:rPr>
            </w:pPr>
            <w:r w:rsidRPr="0090779A">
              <w:rPr>
                <w:b/>
                <w:bCs/>
              </w:rPr>
              <w:t>Impact CUL-4: Disturb Human Remains</w:t>
            </w:r>
          </w:p>
          <w:p w14:paraId="7EE53DC1" w14:textId="1D8D8742" w:rsidR="0090779A" w:rsidRPr="00931675" w:rsidRDefault="0090779A" w:rsidP="0090779A">
            <w:pPr>
              <w:pStyle w:val="TableTextL"/>
            </w:pPr>
            <w:r>
              <w:t xml:space="preserve">Prehistoric or historic-era marked or un-marked human interments </w:t>
            </w:r>
            <w:r w:rsidR="0069687A" w:rsidRPr="00C07C7B">
              <w:rPr>
                <w:u w:val="single"/>
              </w:rPr>
              <w:t xml:space="preserve">and cremated remains </w:t>
            </w:r>
            <w:r>
              <w:t>are present throughout California, including the treatable landscape. Ground-disturbing vegetation treatment activities could uncover previously unknown human remains. Compliance with California Health and Safety Code Sections 7050.5 and 7052 and PRC Section 5097 would avoid disturbance. This impact would be less than significant.</w:t>
            </w:r>
          </w:p>
        </w:tc>
        <w:tc>
          <w:tcPr>
            <w:tcW w:w="993" w:type="dxa"/>
          </w:tcPr>
          <w:p w14:paraId="3B7F1730" w14:textId="247E4127" w:rsidR="0090779A" w:rsidRPr="005B3573" w:rsidRDefault="0090779A" w:rsidP="0090779A">
            <w:pPr>
              <w:pStyle w:val="TableTextL"/>
              <w:spacing w:after="60"/>
              <w:jc w:val="center"/>
            </w:pPr>
            <w:r>
              <w:t>LTS</w:t>
            </w:r>
          </w:p>
        </w:tc>
        <w:tc>
          <w:tcPr>
            <w:tcW w:w="5893" w:type="dxa"/>
          </w:tcPr>
          <w:p w14:paraId="15A972DE" w14:textId="1A963E60" w:rsidR="0090779A" w:rsidRPr="005B3573" w:rsidRDefault="0090779A" w:rsidP="0090779A">
            <w:pPr>
              <w:pStyle w:val="TableTextL"/>
              <w:spacing w:after="60"/>
            </w:pPr>
            <w:r>
              <w:t>No mitigation is required.</w:t>
            </w:r>
          </w:p>
        </w:tc>
        <w:tc>
          <w:tcPr>
            <w:tcW w:w="938" w:type="dxa"/>
          </w:tcPr>
          <w:p w14:paraId="20A86DBE" w14:textId="10E3AE1D" w:rsidR="0090779A" w:rsidRPr="005B3573" w:rsidRDefault="0090779A" w:rsidP="0090779A">
            <w:pPr>
              <w:pStyle w:val="TableTextL"/>
              <w:spacing w:after="60"/>
              <w:jc w:val="center"/>
            </w:pPr>
            <w:r>
              <w:t>LTS</w:t>
            </w:r>
          </w:p>
        </w:tc>
      </w:tr>
      <w:tr w:rsidR="0090779A" w:rsidRPr="005B3573" w14:paraId="4DF3B13A" w14:textId="77777777" w:rsidTr="002B7098">
        <w:trPr>
          <w:jc w:val="center"/>
        </w:trPr>
        <w:tc>
          <w:tcPr>
            <w:tcW w:w="5856" w:type="dxa"/>
            <w:tcBorders>
              <w:top w:val="single" w:sz="4" w:space="0" w:color="auto"/>
              <w:right w:val="nil"/>
            </w:tcBorders>
            <w:shd w:val="clear" w:color="auto" w:fill="F2F2F2" w:themeFill="background1" w:themeFillShade="F2"/>
          </w:tcPr>
          <w:p w14:paraId="2C03E57B" w14:textId="2854C4DB" w:rsidR="0090779A" w:rsidRPr="00931675" w:rsidRDefault="0090779A" w:rsidP="0090779A">
            <w:pPr>
              <w:pStyle w:val="TableTextL"/>
              <w:keepNext/>
              <w:rPr>
                <w:b/>
              </w:rPr>
            </w:pPr>
            <w:r w:rsidRPr="00776C86">
              <w:rPr>
                <w:b/>
              </w:rPr>
              <w:t>Biological Resources</w:t>
            </w:r>
          </w:p>
        </w:tc>
        <w:tc>
          <w:tcPr>
            <w:tcW w:w="993" w:type="dxa"/>
            <w:tcBorders>
              <w:top w:val="single" w:sz="4" w:space="0" w:color="auto"/>
              <w:left w:val="nil"/>
              <w:right w:val="nil"/>
            </w:tcBorders>
            <w:shd w:val="clear" w:color="auto" w:fill="F2F2F2" w:themeFill="background1" w:themeFillShade="F2"/>
          </w:tcPr>
          <w:p w14:paraId="2C876418" w14:textId="77777777" w:rsidR="0090779A" w:rsidRPr="005B3573" w:rsidRDefault="0090779A" w:rsidP="0090779A">
            <w:pPr>
              <w:pStyle w:val="TableTextL"/>
              <w:jc w:val="center"/>
              <w:rPr>
                <w:b/>
              </w:rPr>
            </w:pPr>
          </w:p>
        </w:tc>
        <w:tc>
          <w:tcPr>
            <w:tcW w:w="5893" w:type="dxa"/>
            <w:tcBorders>
              <w:top w:val="single" w:sz="4" w:space="0" w:color="auto"/>
              <w:left w:val="nil"/>
              <w:right w:val="nil"/>
            </w:tcBorders>
            <w:shd w:val="clear" w:color="auto" w:fill="F2F2F2" w:themeFill="background1" w:themeFillShade="F2"/>
          </w:tcPr>
          <w:p w14:paraId="6117C056" w14:textId="77777777" w:rsidR="0090779A" w:rsidRPr="005B3573" w:rsidRDefault="0090779A" w:rsidP="0090779A">
            <w:pPr>
              <w:pStyle w:val="TableTextL"/>
              <w:rPr>
                <w:b/>
              </w:rPr>
            </w:pPr>
          </w:p>
        </w:tc>
        <w:tc>
          <w:tcPr>
            <w:tcW w:w="938" w:type="dxa"/>
            <w:tcBorders>
              <w:top w:val="single" w:sz="4" w:space="0" w:color="auto"/>
              <w:left w:val="nil"/>
            </w:tcBorders>
            <w:shd w:val="clear" w:color="auto" w:fill="F2F2F2" w:themeFill="background1" w:themeFillShade="F2"/>
          </w:tcPr>
          <w:p w14:paraId="673A985A" w14:textId="77777777" w:rsidR="0090779A" w:rsidRPr="005B3573" w:rsidRDefault="0090779A" w:rsidP="0090779A">
            <w:pPr>
              <w:pStyle w:val="TableTextL"/>
              <w:jc w:val="center"/>
              <w:rPr>
                <w:b/>
              </w:rPr>
            </w:pPr>
          </w:p>
        </w:tc>
      </w:tr>
      <w:tr w:rsidR="0090779A" w:rsidRPr="005B3573" w14:paraId="001FD6A5" w14:textId="77777777" w:rsidTr="002B7098">
        <w:trPr>
          <w:jc w:val="center"/>
        </w:trPr>
        <w:tc>
          <w:tcPr>
            <w:tcW w:w="5856" w:type="dxa"/>
          </w:tcPr>
          <w:p w14:paraId="419A3173" w14:textId="77777777" w:rsidR="0025515D" w:rsidRPr="0025515D" w:rsidRDefault="0025515D" w:rsidP="0025515D">
            <w:pPr>
              <w:pStyle w:val="TableTextL"/>
              <w:rPr>
                <w:b/>
                <w:bCs/>
              </w:rPr>
            </w:pPr>
            <w:r w:rsidRPr="0025515D">
              <w:rPr>
                <w:b/>
                <w:bCs/>
              </w:rPr>
              <w:t>Impact BIO-1: Substantially Affect Special-Status Plant Species Either Directly or Through Habitat Modifications</w:t>
            </w:r>
          </w:p>
          <w:p w14:paraId="50DB1ED1" w14:textId="5367D37B" w:rsidR="0090779A" w:rsidRPr="00931675" w:rsidRDefault="0025515D" w:rsidP="0025515D">
            <w:pPr>
              <w:pStyle w:val="TableTextL"/>
            </w:pPr>
            <w:r>
              <w:t xml:space="preserve">Vegetation treatment activities could result in direct removal or destruction, or indirect death or reduced vigor of special-status plants through habitat modifications. Implementation of SPRs BIO-1, BIO-2, BIO-7, and BIO-9 require special-status plants to be identified prior to treatment activities, Worker Environmental Awareness Program (WEAP) training for workers, and actions to prevent the spread of invasive plants that could threaten special-status plant populations. While SPRs would minimize impacts, treatment activities could </w:t>
            </w:r>
            <w:r>
              <w:lastRenderedPageBreak/>
              <w:t>inadvertently damage or destroy special-status plants and adversely modify their habitat resulting in reduced growth and reproduction or death and loss of special-status plant occurrences. This would be a potentially significant impact.</w:t>
            </w:r>
          </w:p>
        </w:tc>
        <w:tc>
          <w:tcPr>
            <w:tcW w:w="993" w:type="dxa"/>
          </w:tcPr>
          <w:p w14:paraId="013A1A29" w14:textId="2B069304" w:rsidR="0090779A" w:rsidRPr="005B3573" w:rsidRDefault="0025515D" w:rsidP="0090779A">
            <w:pPr>
              <w:pStyle w:val="TableTextL"/>
              <w:jc w:val="center"/>
            </w:pPr>
            <w:r>
              <w:lastRenderedPageBreak/>
              <w:t>PS</w:t>
            </w:r>
          </w:p>
        </w:tc>
        <w:tc>
          <w:tcPr>
            <w:tcW w:w="5893" w:type="dxa"/>
          </w:tcPr>
          <w:p w14:paraId="0A191A95" w14:textId="77777777" w:rsidR="00BE5A50" w:rsidRPr="00BE5A50" w:rsidRDefault="00BE5A50" w:rsidP="00BE5A50">
            <w:pPr>
              <w:pStyle w:val="TableTextL"/>
              <w:rPr>
                <w:b/>
              </w:rPr>
            </w:pPr>
            <w:bookmarkStart w:id="52" w:name="_Hlk19191415"/>
            <w:bookmarkStart w:id="53" w:name="_Hlk23777204"/>
            <w:r w:rsidRPr="00BE5A50">
              <w:rPr>
                <w:b/>
              </w:rPr>
              <w:t>Mitigation Measure BIO-1a: Avoid Loss of Special-Status Plants Listed under ESA or CESA</w:t>
            </w:r>
          </w:p>
          <w:bookmarkEnd w:id="52"/>
          <w:p w14:paraId="001D6DEC" w14:textId="77777777" w:rsidR="00BE5A50" w:rsidRPr="00DE38C3" w:rsidRDefault="00BE5A50" w:rsidP="00BE5A50">
            <w:pPr>
              <w:pStyle w:val="TableTextL"/>
            </w:pPr>
            <w:r w:rsidRPr="00FC2382">
              <w:t>If listed plants are determined to be present through application of SPR BIO-1 and SPR BIO-7, the project proponent will avoid and protect these species by establishing</w:t>
            </w:r>
            <w:r w:rsidRPr="00DE38C3">
              <w:t xml:space="preserve"> a no-disturbance buffer around the area occupied by </w:t>
            </w:r>
            <w:r>
              <w:t>listed plants</w:t>
            </w:r>
            <w:r w:rsidRPr="00DE38C3">
              <w:t xml:space="preserve"> and </w:t>
            </w:r>
            <w:r>
              <w:t>marking</w:t>
            </w:r>
            <w:r w:rsidRPr="00DE38C3">
              <w:t xml:space="preserve"> the buffer boundary with high-visibility flagging, fencing, stakes, or clear, existing landscape demarcations (e.g., edge of a roadway)</w:t>
            </w:r>
            <w:r>
              <w:t>, exceptions to this requirement are listed later in this measure</w:t>
            </w:r>
            <w:r w:rsidRPr="00DE38C3">
              <w:t xml:space="preserve">. The </w:t>
            </w:r>
            <w:r>
              <w:t>no-disturbance buffers will generally be a minimum of 50 feet from listed plants, but the</w:t>
            </w:r>
            <w:r w:rsidRPr="00DE38C3">
              <w:t xml:space="preserve"> size and shape of the </w:t>
            </w:r>
            <w:r w:rsidRPr="00DE38C3">
              <w:lastRenderedPageBreak/>
              <w:t xml:space="preserve">buffer zone </w:t>
            </w:r>
            <w:r>
              <w:t>may be adjusted</w:t>
            </w:r>
            <w:r w:rsidRPr="00DE38C3">
              <w:t xml:space="preserve"> </w:t>
            </w:r>
            <w:r>
              <w:t xml:space="preserve">if </w:t>
            </w:r>
            <w:r w:rsidRPr="00DE38C3">
              <w:t xml:space="preserve">a qualified </w:t>
            </w:r>
            <w:r>
              <w:t xml:space="preserve">RPF or </w:t>
            </w:r>
            <w:r w:rsidRPr="00DE38C3">
              <w:t>botanist</w:t>
            </w:r>
            <w:r>
              <w:t xml:space="preserve"> determines that a smaller buffer will be sufficient to avoid killing or damaging listed plants or that a larger buffer is necessary to sufficiently protect plants from the treatment activity. The appropriate buffer size will be determined based on plant phenology at the time of treatment </w:t>
            </w:r>
            <w:r w:rsidRPr="00C72914">
              <w:t>(e.g., whether the plants are in a dormant, vegetative, or flowering state), the individual species’ vulnerability to the treatment method being used, and environmental conditions and terrain</w:t>
            </w:r>
            <w:r>
              <w:t>. For example, paint-on or wicking application of herbicides to invasive plants may be implemented within 50 feet of listed plant species without posing a risk, especially if the listed plants are dormant at the time of application.</w:t>
            </w:r>
            <w:r w:rsidRPr="007058AB">
              <w:rPr>
                <w:u w:val="single"/>
              </w:rPr>
              <w:t xml:space="preserve"> </w:t>
            </w:r>
            <w:bookmarkStart w:id="54" w:name="_Hlk20318026"/>
            <w:r w:rsidRPr="007058AB">
              <w:rPr>
                <w:u w:val="single"/>
              </w:rPr>
              <w:t>Consideration of factors such as site hydrology, changes in light, edge effects, and potential introduction of invasive plants and noxious weeds may inform the determination of buffer width. If a no-disturbance buffer is reduced below 50 feet from a listed plant, a qualified RPF or botanist will provide the project proponent with a site- and/or treatment activity-specific explanation for the buffer reduction, which will be included in the PSA. After completion of the PSA and prior to or during treatment implementation, if there is any deviation (e.g., further reduction) from the reduced buffer as explained in the PSA, this will be documented in the post-project implementation report (referred to by CAL FIRE as a Completion Report) with a science-based justification for the deviation.</w:t>
            </w:r>
            <w:bookmarkEnd w:id="54"/>
            <w:r w:rsidRPr="007058AB">
              <w:rPr>
                <w:u w:val="single"/>
              </w:rPr>
              <w:t xml:space="preserve"> No fire ignition (and associated use of accelerants) will occur within 50 feet of listed plants.</w:t>
            </w:r>
          </w:p>
          <w:bookmarkEnd w:id="53"/>
          <w:p w14:paraId="040E9529" w14:textId="77777777" w:rsidR="00BE5A50" w:rsidRDefault="00BE5A50" w:rsidP="00BE5A50">
            <w:pPr>
              <w:pStyle w:val="TableTextL"/>
            </w:pPr>
            <w:r>
              <w:t xml:space="preserve">For </w:t>
            </w:r>
            <w:r w:rsidRPr="000E6D56">
              <w:t xml:space="preserve">species listed under ESA or CESA, if the project proponent </w:t>
            </w:r>
            <w:r>
              <w:t>cannot avoid loss by implementing no-disturbance buffers, the project proponent will implement Mitigation Measure BIO-1c.</w:t>
            </w:r>
          </w:p>
          <w:p w14:paraId="2D2F7920" w14:textId="3E7CEFA2" w:rsidR="0025515D" w:rsidRDefault="00BE5A50" w:rsidP="00BE5A50">
            <w:pPr>
              <w:pStyle w:val="TableTextL"/>
            </w:pPr>
            <w:r>
              <w:t xml:space="preserve">The only exception to this mitigation approach is </w:t>
            </w:r>
            <w:r w:rsidRPr="00D655DB">
              <w:rPr>
                <w:rFonts w:eastAsia="Calibri" w:cs="Times New Roman"/>
                <w:spacing w:val="-2"/>
              </w:rPr>
              <w:t xml:space="preserve">in </w:t>
            </w:r>
            <w:r w:rsidRPr="00147035">
              <w:rPr>
                <w:rFonts w:eastAsia="Calibri" w:cs="Times New Roman"/>
                <w:spacing w:val="-2"/>
              </w:rPr>
              <w:t xml:space="preserve">cases where it is determined by a qualified </w:t>
            </w:r>
            <w:r>
              <w:rPr>
                <w:rFonts w:eastAsia="Calibri" w:cs="Times New Roman"/>
                <w:spacing w:val="-2"/>
              </w:rPr>
              <w:t xml:space="preserve">RPF or </w:t>
            </w:r>
            <w:r w:rsidRPr="00147035">
              <w:rPr>
                <w:rFonts w:eastAsia="Calibri" w:cs="Times New Roman"/>
                <w:spacing w:val="-2"/>
              </w:rPr>
              <w:t xml:space="preserve">botanist, in consultation with CDFW and USFWS, as appropriate depending on species status and location, that the listed plants would benefit from treatment in the occupied habitat area even though some of the listed plants may be </w:t>
            </w:r>
            <w:r>
              <w:rPr>
                <w:rFonts w:eastAsia="Calibri" w:cs="Times New Roman"/>
                <w:spacing w:val="-2"/>
              </w:rPr>
              <w:t>lost</w:t>
            </w:r>
            <w:r w:rsidRPr="00147035">
              <w:rPr>
                <w:rFonts w:eastAsia="Calibri" w:cs="Times New Roman"/>
                <w:spacing w:val="-2"/>
              </w:rPr>
              <w:t xml:space="preserve"> during treatment activities.</w:t>
            </w:r>
            <w:r>
              <w:rPr>
                <w:rFonts w:eastAsia="Calibri" w:cs="Times New Roman"/>
                <w:spacing w:val="-2"/>
              </w:rPr>
              <w:t xml:space="preserve"> </w:t>
            </w:r>
            <w:r w:rsidRPr="007058AB">
              <w:rPr>
                <w:rFonts w:eastAsia="Calibri" w:cs="Times New Roman"/>
                <w:spacing w:val="-2"/>
                <w:u w:val="single"/>
              </w:rPr>
              <w:t>For a treatment to be considered beneficial to listed special-status plants, the qualified RPF or botanist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and the substantial evidence will be included</w:t>
            </w:r>
            <w:r w:rsidRPr="007058AB">
              <w:rPr>
                <w:u w:val="single"/>
              </w:rPr>
              <w:t xml:space="preserve"> in the PSA. </w:t>
            </w:r>
            <w:r w:rsidRPr="00BE5A50">
              <w:t>If</w:t>
            </w:r>
            <w:r w:rsidRPr="00E368E1">
              <w:t xml:space="preserve"> it is determined that treatment </w:t>
            </w:r>
            <w:r w:rsidRPr="00E368E1">
              <w:lastRenderedPageBreak/>
              <w:t xml:space="preserve">activities would be beneficial to </w:t>
            </w:r>
            <w:r>
              <w:t>listed</w:t>
            </w:r>
            <w:r w:rsidRPr="00E368E1">
              <w:t xml:space="preserve"> plants, no compensatory mitigation for loss of individuals will be required.</w:t>
            </w:r>
          </w:p>
          <w:p w14:paraId="2745451E" w14:textId="77777777" w:rsidR="00BE5A50" w:rsidRPr="00BE5A50" w:rsidRDefault="00BE5A50" w:rsidP="00BE5A50">
            <w:pPr>
              <w:pStyle w:val="TableTextL"/>
              <w:rPr>
                <w:b/>
                <w:spacing w:val="-2"/>
              </w:rPr>
            </w:pPr>
            <w:bookmarkStart w:id="55" w:name="_Hlk19191424"/>
            <w:r w:rsidRPr="00BE5A50">
              <w:rPr>
                <w:b/>
              </w:rPr>
              <w:t xml:space="preserve">Mitigation Measure BIO-1b: Avoid Loss of Special-Status Plants Not Listed Under ESA or CESA </w:t>
            </w:r>
          </w:p>
          <w:bookmarkEnd w:id="55"/>
          <w:p w14:paraId="27794E51" w14:textId="77777777" w:rsidR="00BE5A50" w:rsidRPr="00A00D4E" w:rsidRDefault="00BE5A50" w:rsidP="00BE5A50">
            <w:pPr>
              <w:pStyle w:val="TableTextL"/>
            </w:pPr>
            <w:r>
              <w:t xml:space="preserve">If non-listed </w:t>
            </w:r>
            <w:r w:rsidRPr="00A00D4E">
              <w:t>special-status plant species</w:t>
            </w:r>
            <w:r>
              <w:t xml:space="preserve"> (i.e., </w:t>
            </w:r>
            <w:r>
              <w:rPr>
                <w:rFonts w:eastAsia="Calibri" w:cs="Times New Roman"/>
                <w:spacing w:val="-2"/>
              </w:rPr>
              <w:t xml:space="preserve">species </w:t>
            </w:r>
            <w:r>
              <w:t>not listed under ESA or CESA</w:t>
            </w:r>
            <w:r>
              <w:rPr>
                <w:rFonts w:eastAsia="Calibri" w:cs="Times New Roman"/>
                <w:spacing w:val="-2"/>
              </w:rPr>
              <w:t>, but meeting the definition of special-status as stated in Section 3.6.1 of the Program EIR</w:t>
            </w:r>
            <w:r>
              <w:t>) are determined to be present through application of SPR BIO-1 and SPR BIO-7</w:t>
            </w:r>
            <w:r w:rsidRPr="00A00D4E">
              <w:t xml:space="preserve">, </w:t>
            </w:r>
            <w:r>
              <w:t>t</w:t>
            </w:r>
            <w:r w:rsidRPr="00A00D4E">
              <w:t xml:space="preserve">he project proponent </w:t>
            </w:r>
            <w:r>
              <w:t>will</w:t>
            </w:r>
            <w:r w:rsidRPr="00A00D4E">
              <w:t xml:space="preserve"> </w:t>
            </w:r>
            <w:r>
              <w:t>implement the following measures to avoid loss of individuals and maintain habitat function of occupied habitat</w:t>
            </w:r>
            <w:r w:rsidRPr="00A00D4E">
              <w:t>:</w:t>
            </w:r>
          </w:p>
          <w:p w14:paraId="73BE38AA" w14:textId="77777777" w:rsidR="00BE5A50" w:rsidRPr="00BE5A50" w:rsidRDefault="00BE5A50" w:rsidP="00BE5A50">
            <w:pPr>
              <w:pStyle w:val="TableBullet1"/>
            </w:pPr>
            <w:r w:rsidRPr="00A00D4E">
              <w:t xml:space="preserve">Physically avoid the area occupied by the special-status plants by establishing a no-disturbance buffer around the area occupied by species and marking the buffer boundary with high-visibility flagging, fencing, stakes, or clear, existing landscape demarcations (e.g., edge of a roadway). </w:t>
            </w:r>
            <w:r w:rsidRPr="00DE38C3">
              <w:t xml:space="preserve">The </w:t>
            </w:r>
            <w:r>
              <w:t>no-disturbance buffers will generally be a minimum of 50 feet from special-status plants, but the</w:t>
            </w:r>
            <w:r w:rsidRPr="00DE38C3">
              <w:t xml:space="preserve"> size and shape of the buffer zone </w:t>
            </w:r>
            <w:r>
              <w:t>may be adjusted</w:t>
            </w:r>
            <w:r w:rsidRPr="00DE38C3">
              <w:t xml:space="preserve"> </w:t>
            </w:r>
            <w:r>
              <w:t xml:space="preserve">if </w:t>
            </w:r>
            <w:r w:rsidRPr="00DE38C3">
              <w:t xml:space="preserve">a qualified </w:t>
            </w:r>
            <w:r>
              <w:t xml:space="preserve">RPF or </w:t>
            </w:r>
            <w:r w:rsidRPr="00DE38C3">
              <w:t>botanist</w:t>
            </w:r>
            <w:r>
              <w:t xml:space="preserve"> determines that a smaller buffer will be sufficient to avoid loss of or damaging to special-status plants or that a larger buffer is necessary to sufficiently protect plants from the treatment activity. </w:t>
            </w:r>
            <w:r w:rsidRPr="00A00D4E">
              <w:t xml:space="preserve">The appropriate size and shape of the buffer zone </w:t>
            </w:r>
            <w:r>
              <w:t>will</w:t>
            </w:r>
            <w:r w:rsidRPr="00A00D4E">
              <w:t xml:space="preserve"> be determined </w:t>
            </w:r>
            <w:r>
              <w:t>by</w:t>
            </w:r>
            <w:r w:rsidRPr="00A00D4E">
              <w:t xml:space="preserve"> a qualified </w:t>
            </w:r>
            <w:r>
              <w:t xml:space="preserve">RPF or </w:t>
            </w:r>
            <w:r w:rsidRPr="00A00D4E">
              <w:t xml:space="preserve">botanist and </w:t>
            </w:r>
            <w:r>
              <w:t>will</w:t>
            </w:r>
            <w:r w:rsidRPr="00A00D4E">
              <w:t xml:space="preserve"> depend on plant phenology at the time of treatment (e.g., whether the plants are in a dormant, vegetative, or flowering state), the individual species</w:t>
            </w:r>
            <w:r>
              <w:t>’</w:t>
            </w:r>
            <w:r w:rsidRPr="00A00D4E">
              <w:t xml:space="preserve"> vulnerability to the </w:t>
            </w:r>
            <w:r w:rsidRPr="00BE5A50">
              <w:t>treatment method being used, and environmental conditions and terrain.</w:t>
            </w:r>
            <w:r w:rsidRPr="007058AB">
              <w:rPr>
                <w:u w:val="single"/>
              </w:rPr>
              <w:t xml:space="preserve"> Consideration of factors such as site hydrology, changes in light, edge effects, and potential introduction of invasive plants and noxious weeds may inform an appropriate buffer size and shape.</w:t>
            </w:r>
          </w:p>
          <w:p w14:paraId="6390B749" w14:textId="77777777" w:rsidR="00BE5A50" w:rsidRPr="00BE5A50" w:rsidRDefault="00BE5A50" w:rsidP="00BE5A50">
            <w:pPr>
              <w:pStyle w:val="TableBullet1"/>
            </w:pPr>
            <w:r w:rsidRPr="00BE5A50">
              <w:t xml:space="preserve">Treatments may be conducted within this buffer if the potentially affected special-status plant species is  a geophytic, stump-sprouting, or annual species, and the treatment can be conducted outside of the growing season (e.g., after it has completed its annual life cycle) or during the dormant season using only treatment activities that would not damage the stump, root system or other underground parts of special-status plants or destroy the seedbank. </w:t>
            </w:r>
          </w:p>
          <w:p w14:paraId="41D44A27" w14:textId="77777777" w:rsidR="00BE5A50" w:rsidRPr="007058AB" w:rsidRDefault="00BE5A50" w:rsidP="00BE5A50">
            <w:pPr>
              <w:pStyle w:val="TableBullet1"/>
              <w:rPr>
                <w:u w:val="single"/>
              </w:rPr>
            </w:pPr>
            <w:r w:rsidRPr="00BE5A50">
              <w:t>Treatments will be designed to maintain the function of special-status plant habitat. For example, for a fuel break proposed in treatment areas occupied by special-status plants, if the removal of shade cover would degrade the special-</w:t>
            </w:r>
            <w:r w:rsidRPr="00BE5A50">
              <w:lastRenderedPageBreak/>
              <w:t>status plant habitat despite the requirement to physically or seasonally avoid the special-status plant itself, habitat function would be diminished and the treatment would need to be modified or precluded from implementation.</w:t>
            </w:r>
          </w:p>
          <w:p w14:paraId="082DA3D2" w14:textId="77777777" w:rsidR="00BE5A50" w:rsidRPr="00BE5A50" w:rsidRDefault="00BE5A50" w:rsidP="00BE5A50">
            <w:pPr>
              <w:pStyle w:val="TableBullet1"/>
            </w:pPr>
            <w:r w:rsidRPr="007058AB">
              <w:rPr>
                <w:u w:val="single"/>
              </w:rPr>
              <w:t>No fire ignition (and associated use of accelerants) will occur within the special-status plant buffer.</w:t>
            </w:r>
            <w:r w:rsidRPr="00BE5A50">
              <w:t xml:space="preserve"> </w:t>
            </w:r>
          </w:p>
          <w:p w14:paraId="59F2671C" w14:textId="77777777" w:rsidR="00BE5A50" w:rsidRPr="00BE5A50" w:rsidRDefault="00BE5A50" w:rsidP="00BE5A50">
            <w:pPr>
              <w:pStyle w:val="TableTextL"/>
            </w:pPr>
            <w:r w:rsidRPr="00717E72">
              <w:t xml:space="preserve">A qualified RPF or botanist with knowledge of the special-status plant species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t>
            </w:r>
            <w:r>
              <w:t>would</w:t>
            </w:r>
            <w:r w:rsidRPr="00717E72">
              <w:t xml:space="preserve"> not maintain habitat function of the special-status plant habitat (i.e., the habitat would be rendered unsuitable) or because the loss of special-status plants would substantially reduce the number or restrict the range of a special-</w:t>
            </w:r>
            <w:r w:rsidRPr="00BE5A50">
              <w:t xml:space="preserve">status plant species. If the project proponent determines the impact on special-status plants would be less than significant, no further mitigation will be required. If the project proponent determines that the loss of special-status plants or degradation of occupied habitat would be significant under CEQA after implementing feasible treatment design alternatives and impact minimization measures, then Mitigation Measure BIO-1c will be implemented. </w:t>
            </w:r>
          </w:p>
          <w:p w14:paraId="436A8360" w14:textId="77777777" w:rsidR="00BE5A50" w:rsidRPr="00717E72" w:rsidRDefault="00BE5A50" w:rsidP="00BE5A50">
            <w:pPr>
              <w:pStyle w:val="TableTextL"/>
            </w:pPr>
            <w:r w:rsidRPr="00BE5A50">
              <w:t>The only exception to this mitigation approach is in cases where it is determined by a qualified RPF or botanist that the special-status plants would benefit from treatment in the occupied habitat area even though some of the non-listed special-status plants may be killed during treatment activities.</w:t>
            </w:r>
            <w:r w:rsidRPr="007058AB">
              <w:rPr>
                <w:u w:val="single"/>
              </w:rPr>
              <w:t xml:space="preserve"> </w:t>
            </w:r>
            <w:bookmarkStart w:id="56" w:name="_Hlk20835659"/>
            <w:r w:rsidRPr="007058AB">
              <w:rPr>
                <w:u w:val="single"/>
              </w:rPr>
              <w:t xml:space="preserve">For a treatment to be considered beneficial to non-listed special-status plants, the qualified RPF or botanist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and the substantial evidence will be included in the PSA. </w:t>
            </w:r>
            <w:bookmarkEnd w:id="56"/>
            <w:r w:rsidRPr="00BE5A50">
              <w:t>If it is determined that treatment activities would be beneficial to special-status plants, no compensatory mitigation will be required.</w:t>
            </w:r>
            <w:r w:rsidRPr="00717E72">
              <w:t xml:space="preserve"> </w:t>
            </w:r>
          </w:p>
          <w:p w14:paraId="683ECA6C" w14:textId="77777777" w:rsidR="00BE5A50" w:rsidRPr="00BE5A50" w:rsidRDefault="00BE5A50" w:rsidP="00BE5A50">
            <w:pPr>
              <w:pStyle w:val="TableTextL"/>
              <w:rPr>
                <w:b/>
              </w:rPr>
            </w:pPr>
            <w:r w:rsidRPr="00BE5A50">
              <w:rPr>
                <w:b/>
              </w:rPr>
              <w:t>Mitigation Measure BIO-1c: Compensate for Unavoidable Loss of Special-Status Plants</w:t>
            </w:r>
          </w:p>
          <w:p w14:paraId="4BE87530" w14:textId="1F6AF5B0" w:rsidR="00BE5A50" w:rsidRDefault="00BE5A50" w:rsidP="00BE5A50">
            <w:pPr>
              <w:pStyle w:val="TableTextL"/>
            </w:pPr>
            <w:r>
              <w:lastRenderedPageBreak/>
              <w:t>If significant impacts on listed or non-listed special-status plants cannot feasibly be avoided as specified under the circumstances described under Mitigation Measures BIO-1a and 1b, the project proponent will prepare a</w:t>
            </w:r>
            <w:r w:rsidRPr="003039CD">
              <w:t xml:space="preserve"> </w:t>
            </w:r>
            <w:r>
              <w:t>Compensatory M</w:t>
            </w:r>
            <w:r w:rsidRPr="003039CD">
              <w:t xml:space="preserve">itigation </w:t>
            </w:r>
            <w:r>
              <w:t>P</w:t>
            </w:r>
            <w:r w:rsidRPr="003039CD">
              <w:t xml:space="preserve">lan </w:t>
            </w:r>
            <w:r>
              <w:t>that identifies the residual significant impacts that require compensatory mitigation and describes the compensatory mitigation strategy being implemented and</w:t>
            </w:r>
            <w:r w:rsidRPr="003039CD">
              <w:t xml:space="preserve"> how unavoidable losses of special-status plants will be compensated.</w:t>
            </w:r>
            <w:r>
              <w:t xml:space="preserve"> </w:t>
            </w:r>
            <w:bookmarkStart w:id="57" w:name="_Hlk18690925"/>
            <w:bookmarkStart w:id="58" w:name="_Hlk18411482"/>
            <w:r w:rsidRPr="007058AB">
              <w:rPr>
                <w:u w:val="single"/>
              </w:rPr>
              <w:t>The project proponent will consult with CDFW and/or any other applicable responsible agency prior to finalizing the Compensatory Mitigation Plan to satisfy that responsible agency’s requirements (e.g., permits, approvals) within the plan.</w:t>
            </w:r>
            <w:bookmarkEnd w:id="57"/>
            <w:r>
              <w:t xml:space="preserve"> If the special-status plant taxa are listed under ESA or CESA, the plan will be submitted to CDFW and/or USFWS (as appropriate) for </w:t>
            </w:r>
            <w:r w:rsidRPr="00595261">
              <w:t>review and comment.</w:t>
            </w:r>
            <w:bookmarkEnd w:id="58"/>
          </w:p>
          <w:p w14:paraId="2FE4981E" w14:textId="77777777" w:rsidR="00BE5A50" w:rsidRDefault="00BE5A50" w:rsidP="00BE5A50">
            <w:pPr>
              <w:pStyle w:val="TableTextL"/>
            </w:pPr>
            <w:r>
              <w:t xml:space="preserve">The first priority for compensatory mitigation will be </w:t>
            </w:r>
            <w:r w:rsidRPr="003039CD">
              <w:t>preserving and enhancing existing populations</w:t>
            </w:r>
            <w:r>
              <w:t xml:space="preserve"> outside of the treatment area</w:t>
            </w:r>
            <w:r w:rsidRPr="007058AB">
              <w:rPr>
                <w:u w:val="single"/>
              </w:rPr>
              <w:t xml:space="preserve"> in perpetuity,</w:t>
            </w:r>
            <w:r w:rsidRPr="003039CD">
              <w:t xml:space="preserve"> </w:t>
            </w:r>
            <w:r>
              <w:t>or if that is not an option because existing populations that can be preserved in perpetuity are not available, one of the following mitigation options will be implemented</w:t>
            </w:r>
            <w:r w:rsidRPr="007058AB">
              <w:rPr>
                <w:u w:val="single"/>
              </w:rPr>
              <w:t xml:space="preserve"> by the project proponent </w:t>
            </w:r>
            <w:r>
              <w:t>instead:</w:t>
            </w:r>
          </w:p>
          <w:p w14:paraId="6FAC7D07" w14:textId="77777777" w:rsidR="00BE5A50" w:rsidRDefault="00BE5A50" w:rsidP="00BE5A50">
            <w:pPr>
              <w:pStyle w:val="TableBullet1"/>
            </w:pPr>
            <w:r w:rsidRPr="003039CD">
              <w:t>creating populations on mitigation sites</w:t>
            </w:r>
            <w:r>
              <w:t xml:space="preserve"> outside of the treatment area</w:t>
            </w:r>
            <w:r w:rsidRPr="003039CD">
              <w:t xml:space="preserve"> through seed collection</w:t>
            </w:r>
            <w:r>
              <w:t xml:space="preserve"> and dispersal (annual species)</w:t>
            </w:r>
            <w:r w:rsidRPr="003039CD">
              <w:t xml:space="preserve"> or transplantation</w:t>
            </w:r>
            <w:r>
              <w:t xml:space="preserve"> (perennial species);</w:t>
            </w:r>
            <w:r w:rsidRPr="003039CD">
              <w:t xml:space="preserve"> </w:t>
            </w:r>
          </w:p>
          <w:p w14:paraId="47457658" w14:textId="77777777" w:rsidR="00BE5A50" w:rsidRDefault="00BE5A50" w:rsidP="00BE5A50">
            <w:pPr>
              <w:pStyle w:val="TableBullet1"/>
            </w:pPr>
            <w:r>
              <w:t>purchasing mitigation credits from a CDFW- or USFWS-approved conservation or mitigation bank in</w:t>
            </w:r>
            <w:r w:rsidRPr="003039CD">
              <w:t xml:space="preserve"> sufficient quantities to </w:t>
            </w:r>
            <w:r>
              <w:t>offset the</w:t>
            </w:r>
            <w:r w:rsidRPr="003039CD">
              <w:t xml:space="preserve"> loss of </w:t>
            </w:r>
            <w:r>
              <w:t>occupied</w:t>
            </w:r>
            <w:r w:rsidRPr="003039CD">
              <w:t xml:space="preserve"> habitat</w:t>
            </w:r>
            <w:r>
              <w:t>;</w:t>
            </w:r>
            <w:r w:rsidRPr="003039CD">
              <w:t xml:space="preserve"> </w:t>
            </w:r>
            <w:r>
              <w:t>and</w:t>
            </w:r>
          </w:p>
          <w:p w14:paraId="4ED9F119" w14:textId="77777777" w:rsidR="00BE5A50" w:rsidRDefault="00BE5A50" w:rsidP="00BE5A50">
            <w:pPr>
              <w:pStyle w:val="TableBullet1"/>
            </w:pPr>
            <w:r>
              <w:t>if the affected special-status plants are not listed under ESA or CESA, compensatory mitigation may include restoring or enhancing degraded habitats so that they are made suitable to support special-status plant species in the future.</w:t>
            </w:r>
          </w:p>
          <w:p w14:paraId="1A0331D6" w14:textId="77777777" w:rsidR="00BE5A50" w:rsidRPr="00595261" w:rsidRDefault="00BE5A50" w:rsidP="00BE5A50">
            <w:pPr>
              <w:pStyle w:val="TableTextL"/>
            </w:pPr>
            <w:r w:rsidRPr="00595261">
              <w:t xml:space="preserve">If relocation efforts are part of the </w:t>
            </w:r>
            <w:r>
              <w:t>Compensatory M</w:t>
            </w:r>
            <w:r w:rsidRPr="00595261">
              <w:t xml:space="preserve">itigation </w:t>
            </w:r>
            <w:r>
              <w:t>P</w:t>
            </w:r>
            <w:r w:rsidRPr="00595261">
              <w:t xml:space="preserve">lan, the plan will include details on the methods to be used, including collection, storage, propagation, receptor site preparation, installation, long-term protection and management, monitoring and reporting requirements, success criteria, and remedial </w:t>
            </w:r>
            <w:bookmarkStart w:id="59" w:name="_Hlk18690044"/>
            <w:r w:rsidRPr="00595261">
              <w:t>action responsibilities should the initial effort fail to meet long-term monitoring requirements</w:t>
            </w:r>
            <w:bookmarkEnd w:id="59"/>
            <w:r w:rsidRPr="00595261">
              <w:t>. The following performance standards will be applied for relocation:</w:t>
            </w:r>
          </w:p>
          <w:p w14:paraId="079BABD9" w14:textId="77777777" w:rsidR="00BE5A50" w:rsidRPr="00595261" w:rsidRDefault="00BE5A50" w:rsidP="00BE5A50">
            <w:pPr>
              <w:pStyle w:val="TableBullet1"/>
            </w:pPr>
            <w:r>
              <w:lastRenderedPageBreak/>
              <w:t>t</w:t>
            </w:r>
            <w:r w:rsidRPr="00595261">
              <w:t>he extent of occupied area will be substantially similar to the affected occupied habitat and will be suitable for self-producing populations. Re-located/re-established populations will be considered suitable for self-producing when:</w:t>
            </w:r>
          </w:p>
          <w:p w14:paraId="7A1C53C8" w14:textId="77777777" w:rsidR="00BE5A50" w:rsidRPr="00595261" w:rsidRDefault="00BE5A50" w:rsidP="00BE5A50">
            <w:pPr>
              <w:pStyle w:val="TableBullet1"/>
            </w:pPr>
            <w:r w:rsidRPr="00595261">
              <w:t>habitat conditions allow for plants to reestablish annually for a minimum of 5 years with no human intervention, such as supplemental seeding; and</w:t>
            </w:r>
          </w:p>
          <w:p w14:paraId="2BC72973" w14:textId="77777777" w:rsidR="00BE5A50" w:rsidRPr="00595261" w:rsidRDefault="00BE5A50" w:rsidP="00BE5A50">
            <w:pPr>
              <w:pStyle w:val="TableBullet1"/>
            </w:pPr>
            <w:r w:rsidRPr="00595261">
              <w:t>reestablished habitats contain an occupied area comparable to existing occupied habitat areas in similar habitat types in the region</w:t>
            </w:r>
            <w:r>
              <w:t>.</w:t>
            </w:r>
          </w:p>
          <w:p w14:paraId="128DFC1E" w14:textId="77777777" w:rsidR="00BE5A50" w:rsidRDefault="00BE5A50" w:rsidP="00BE5A50">
            <w:pPr>
              <w:pStyle w:val="TableTextL"/>
            </w:pPr>
            <w:r w:rsidRPr="00595261">
              <w:t>If preservation of exi</w:t>
            </w:r>
            <w:r>
              <w:t>s</w:t>
            </w:r>
            <w:r w:rsidRPr="00595261">
              <w:t>ting populations or creation of new populations is part of the mitigation plan,</w:t>
            </w:r>
            <w:r>
              <w:t xml:space="preserve"> the Compensatory Mitigation Plan will </w:t>
            </w:r>
            <w:r w:rsidRPr="00E60AA7">
              <w:t xml:space="preserve">include a summary of the proposed compensation lands </w:t>
            </w:r>
            <w:r>
              <w:t xml:space="preserve">and actions </w:t>
            </w:r>
            <w:r w:rsidRPr="00E60AA7">
              <w:t>(e.g., the number and type of credits, location of mitigation bank or easement</w:t>
            </w:r>
            <w:r>
              <w:t>, restoration or enhancement actions</w:t>
            </w:r>
            <w:r w:rsidRPr="00E60AA7">
              <w:t xml:space="preserve">), parties responsible for the long-term management of the land, and the legal </w:t>
            </w:r>
            <w:r>
              <w:t xml:space="preserve">and funding </w:t>
            </w:r>
            <w:r w:rsidRPr="00E60AA7">
              <w:t>mechanism</w:t>
            </w:r>
            <w:r>
              <w:t>s</w:t>
            </w:r>
            <w:r w:rsidRPr="00E60AA7">
              <w:t xml:space="preserve"> (e.g., holder of conservation easement or fee title). The project proponent will submit evidence that the necessary mitigation has been </w:t>
            </w:r>
            <w:r>
              <w:t>implemented</w:t>
            </w:r>
            <w:r w:rsidRPr="00E60AA7">
              <w:t xml:space="preserve"> or that the project proponent has entered into a legal agreement to </w:t>
            </w:r>
            <w:r>
              <w:t>implement it</w:t>
            </w:r>
            <w:r w:rsidRPr="007058AB">
              <w:rPr>
                <w:u w:val="single"/>
              </w:rPr>
              <w:t xml:space="preserve"> and that </w:t>
            </w:r>
            <w:bookmarkStart w:id="60" w:name="_Hlk18687358"/>
            <w:r w:rsidRPr="007058AB">
              <w:rPr>
                <w:u w:val="single"/>
              </w:rPr>
              <w:t>compensatory plant populations will be preserved in perpetuity</w:t>
            </w:r>
            <w:bookmarkEnd w:id="60"/>
            <w:r>
              <w:t xml:space="preserve">. </w:t>
            </w:r>
          </w:p>
          <w:p w14:paraId="6C0DCE7B" w14:textId="49924E0F" w:rsidR="00BE5A50" w:rsidRDefault="00BE5A50" w:rsidP="00BE5A50">
            <w:pPr>
              <w:pStyle w:val="TableTextL"/>
            </w:pPr>
            <w:r w:rsidRPr="006A4AFF">
              <w:t xml:space="preserve">If mitigation includes dedication of conservation easements, purchase of mitigation credits, or other offsite conservation measures, the details of these measures will be included in the mitigation plan, including information on responsible parties for long-term management, conservation easement holders, long-term management requirements, </w:t>
            </w:r>
            <w:r>
              <w:t xml:space="preserve">funding assurances, and </w:t>
            </w:r>
            <w:r w:rsidRPr="006A4AFF">
              <w:t>success criteria such as those listed above and other details, as appropriate to target the preservation of long term viable populations.</w:t>
            </w:r>
          </w:p>
          <w:p w14:paraId="68B73EBD" w14:textId="77777777" w:rsidR="00BE5A50" w:rsidRDefault="00BE5A50" w:rsidP="00BE5A50">
            <w:pPr>
              <w:pStyle w:val="TableTextL"/>
            </w:pPr>
            <w:r>
              <w:t xml:space="preserve">If mitigation includes </w:t>
            </w:r>
            <w:r w:rsidRPr="00E60AA7">
              <w:t xml:space="preserve">restoring or enhancing habitat within the treatment area or outside of the treatment area, the Compensatory Mitigation Plan will include a description of the proposed habitat improvements, success criteria that demonstrate the performance standard of maintained habitat function has been met, </w:t>
            </w:r>
            <w:r>
              <w:t xml:space="preserve">legal and </w:t>
            </w:r>
            <w:r w:rsidRPr="00E60AA7">
              <w:t xml:space="preserve">funding </w:t>
            </w:r>
            <w:r>
              <w:t>mechanisms</w:t>
            </w:r>
            <w:r w:rsidRPr="00E60AA7">
              <w:t>, and parties responsible for long-term management and monitoring of the restored habitat.</w:t>
            </w:r>
          </w:p>
          <w:p w14:paraId="58EED4D1" w14:textId="77777777" w:rsidR="00BE5A50" w:rsidRDefault="00BE5A50" w:rsidP="00BE5A50">
            <w:pPr>
              <w:pStyle w:val="TableTextL"/>
            </w:pPr>
            <w:r>
              <w:t xml:space="preserve">If the loss of occupied habitat cannot be offset (e.g., </w:t>
            </w:r>
            <w:bookmarkStart w:id="61" w:name="_Hlk8142492"/>
            <w:r>
              <w:t>if preservation of existing populations or creation of new populations through relocation efforts are not available for a certain species</w:t>
            </w:r>
            <w:bookmarkEnd w:id="61"/>
            <w:r>
              <w:t xml:space="preserve">), </w:t>
            </w:r>
            <w:bookmarkStart w:id="62" w:name="_Hlk8142526"/>
            <w:r>
              <w:t xml:space="preserve">and as a result treatment activities would </w:t>
            </w:r>
            <w:r>
              <w:lastRenderedPageBreak/>
              <w:t xml:space="preserve">substantially reduce the number or restrict the range of listed plant species, then the treatment will not qualify as within the scope of this PEIR. </w:t>
            </w:r>
          </w:p>
          <w:bookmarkEnd w:id="62"/>
          <w:p w14:paraId="2D0A4F64" w14:textId="5D672EF0" w:rsidR="0090779A" w:rsidRPr="005B3573" w:rsidRDefault="00BE5A50" w:rsidP="00BE5A50">
            <w:pPr>
              <w:pStyle w:val="TableTextL"/>
            </w:pPr>
            <w:r>
              <w:rPr>
                <w:rFonts w:eastAsia="Calibri" w:cs="Times New Roman"/>
              </w:rPr>
              <w:t>Compensatory mitigation may be satisfied through compliance with permit conditions, or other authorizations obtained by the project proponent (e.g., incidental take permit for state-listed plants), if these requirements are equally or more effective than the mitigation identified above.</w:t>
            </w:r>
          </w:p>
        </w:tc>
        <w:tc>
          <w:tcPr>
            <w:tcW w:w="938" w:type="dxa"/>
          </w:tcPr>
          <w:p w14:paraId="7F948784" w14:textId="4F21BCB9" w:rsidR="0090779A" w:rsidRPr="005B3573" w:rsidRDefault="0025515D" w:rsidP="0090779A">
            <w:pPr>
              <w:pStyle w:val="TableTextL"/>
              <w:jc w:val="center"/>
            </w:pPr>
            <w:r>
              <w:lastRenderedPageBreak/>
              <w:t>LTS</w:t>
            </w:r>
            <w:r w:rsidR="009B3F06">
              <w:t>M</w:t>
            </w:r>
          </w:p>
        </w:tc>
      </w:tr>
      <w:tr w:rsidR="009B3F06" w:rsidRPr="005B3573" w14:paraId="5FB1F962" w14:textId="77777777" w:rsidTr="003060D2">
        <w:trPr>
          <w:jc w:val="center"/>
        </w:trPr>
        <w:tc>
          <w:tcPr>
            <w:tcW w:w="5856" w:type="dxa"/>
          </w:tcPr>
          <w:p w14:paraId="4F1E9AAA" w14:textId="77777777" w:rsidR="009B3F06" w:rsidRPr="005043C9" w:rsidRDefault="009B3F06" w:rsidP="009B3F06">
            <w:pPr>
              <w:pStyle w:val="TableTextL"/>
              <w:rPr>
                <w:b/>
                <w:bCs/>
              </w:rPr>
            </w:pPr>
            <w:r w:rsidRPr="005043C9">
              <w:rPr>
                <w:b/>
                <w:bCs/>
              </w:rPr>
              <w:lastRenderedPageBreak/>
              <w:t>Impact BIO-2: Substantially Affect Special-Status Wildlife Species Either Directly or Through Habitat Modifications</w:t>
            </w:r>
          </w:p>
          <w:p w14:paraId="52F63DD5" w14:textId="63EE850F" w:rsidR="009B3F06" w:rsidRPr="005043C9" w:rsidRDefault="009B3F06" w:rsidP="009B3F06">
            <w:pPr>
              <w:pStyle w:val="TableTextL"/>
              <w:rPr>
                <w:b/>
                <w:bCs/>
              </w:rPr>
            </w:pPr>
            <w:r>
              <w:t xml:space="preserve">Treatment activities implemented under the proposed CalVTP, including prescribed burning, mechanical treatment, manual treatment, prescribed herbivory, and herbicide treatment, could result in direct or indirect adverse effects to several special-status wildlife species. SPRs require pre-treatment surveys to identify special-status wildlife and habitats and avoidance and protection of certain sensitive habitats. While implementation of SPRs would minimize impacts, vegetation treatment activities would still remove vegetation and disturb the ground surface, which could result in the disturbance to or loss of individuals, reduced breeding productivity of affected species, or loss of habitat function. The loss of special-status wildlife species and habitat </w:t>
            </w:r>
            <w:r w:rsidR="00BA345C">
              <w:t xml:space="preserve">function </w:t>
            </w:r>
            <w:r>
              <w:t>would be a potentially significant impact.</w:t>
            </w:r>
          </w:p>
        </w:tc>
        <w:tc>
          <w:tcPr>
            <w:tcW w:w="993" w:type="dxa"/>
          </w:tcPr>
          <w:p w14:paraId="4BAEF0B1" w14:textId="77777777" w:rsidR="009B3F06" w:rsidRDefault="009B3F06" w:rsidP="0090779A">
            <w:pPr>
              <w:pStyle w:val="TableTextL"/>
              <w:jc w:val="center"/>
            </w:pPr>
          </w:p>
        </w:tc>
        <w:tc>
          <w:tcPr>
            <w:tcW w:w="5893" w:type="dxa"/>
          </w:tcPr>
          <w:p w14:paraId="115487C0" w14:textId="7C046F73" w:rsidR="009B3F06" w:rsidRPr="006D605B" w:rsidRDefault="009B3F06" w:rsidP="006D605B">
            <w:pPr>
              <w:pStyle w:val="TableTextL"/>
              <w:rPr>
                <w:b/>
                <w:bCs/>
              </w:rPr>
            </w:pPr>
            <w:r>
              <w:rPr>
                <w:b/>
                <w:bCs/>
              </w:rPr>
              <w:t xml:space="preserve">Significance before mitigation, mitigation measures, and significance after mitigation are listed for each wildlife species group </w:t>
            </w:r>
          </w:p>
        </w:tc>
        <w:tc>
          <w:tcPr>
            <w:tcW w:w="938" w:type="dxa"/>
          </w:tcPr>
          <w:p w14:paraId="72E8953B" w14:textId="77777777" w:rsidR="009B3F06" w:rsidRDefault="009B3F06" w:rsidP="0090779A">
            <w:pPr>
              <w:pStyle w:val="TableTextL"/>
              <w:jc w:val="center"/>
            </w:pPr>
          </w:p>
        </w:tc>
      </w:tr>
      <w:tr w:rsidR="0090779A" w:rsidRPr="005B3573" w14:paraId="450864E1" w14:textId="77777777" w:rsidTr="003060D2">
        <w:trPr>
          <w:jc w:val="center"/>
        </w:trPr>
        <w:tc>
          <w:tcPr>
            <w:tcW w:w="5856" w:type="dxa"/>
          </w:tcPr>
          <w:p w14:paraId="74338D24" w14:textId="400F359A" w:rsidR="0090779A" w:rsidRPr="00931675" w:rsidRDefault="009B3F06" w:rsidP="00FE42A2">
            <w:pPr>
              <w:pStyle w:val="TableTextL"/>
            </w:pPr>
            <w:r w:rsidRPr="009B3F06">
              <w:rPr>
                <w:b/>
                <w:bCs/>
              </w:rPr>
              <w:t>Tree-Nesting and Cavity-Nesting Wildlife</w:t>
            </w:r>
          </w:p>
        </w:tc>
        <w:tc>
          <w:tcPr>
            <w:tcW w:w="993" w:type="dxa"/>
          </w:tcPr>
          <w:p w14:paraId="78BAA146" w14:textId="2558A0E0" w:rsidR="0090779A" w:rsidRPr="005B3573" w:rsidRDefault="005043C9" w:rsidP="0090779A">
            <w:pPr>
              <w:pStyle w:val="TableTextL"/>
              <w:jc w:val="center"/>
            </w:pPr>
            <w:r>
              <w:t>PS</w:t>
            </w:r>
          </w:p>
        </w:tc>
        <w:tc>
          <w:tcPr>
            <w:tcW w:w="5893" w:type="dxa"/>
          </w:tcPr>
          <w:p w14:paraId="71939244" w14:textId="77777777" w:rsidR="0029315E" w:rsidRPr="00736B3D" w:rsidRDefault="0029315E" w:rsidP="00736B3D">
            <w:pPr>
              <w:pStyle w:val="TableTextL"/>
              <w:rPr>
                <w:b/>
              </w:rPr>
            </w:pPr>
            <w:bookmarkStart w:id="63" w:name="_Hlk10552527"/>
            <w:r w:rsidRPr="00736B3D">
              <w:rPr>
                <w:b/>
              </w:rPr>
              <w:t>Mitigation Measure BIO-2a: Avoid Mortality, Injury, or Disturbance and Maintain Habitat Function for Listed Wildlife Species and California Fully Protected Species (All Treatment Activities)</w:t>
            </w:r>
          </w:p>
          <w:p w14:paraId="455F379C" w14:textId="77777777" w:rsidR="0029315E" w:rsidRDefault="0029315E" w:rsidP="00736B3D">
            <w:pPr>
              <w:pStyle w:val="TableTextL"/>
              <w:rPr>
                <w:rFonts w:eastAsia="Calibri" w:cs="Times New Roman"/>
                <w:spacing w:val="-2"/>
              </w:rPr>
            </w:pPr>
            <w:r w:rsidRPr="00A809BC">
              <w:rPr>
                <w:rFonts w:eastAsia="Calibri" w:cs="Times New Roman"/>
                <w:spacing w:val="-2"/>
              </w:rPr>
              <w:t xml:space="preserve">If </w:t>
            </w:r>
            <w:r>
              <w:rPr>
                <w:rFonts w:eastAsia="Calibri" w:cs="Times New Roman"/>
                <w:spacing w:val="-2"/>
              </w:rPr>
              <w:t>California Fully Protected Species or species listed under ESA or CESA are observed during reconnaissance surveys (conducted pursuant to SPR BIO-1) or focused or protocol-level surveys (conducted pursuant to SPR BIO-10), the project proponent will avoid adverse effects to the species by implementing the following.</w:t>
            </w:r>
          </w:p>
          <w:p w14:paraId="70E52DB7" w14:textId="77777777" w:rsidR="0029315E" w:rsidRDefault="0029315E" w:rsidP="00736B3D">
            <w:pPr>
              <w:pStyle w:val="TableTextL"/>
              <w:rPr>
                <w:u w:val="single"/>
              </w:rPr>
            </w:pPr>
            <w:r w:rsidRPr="002F745E">
              <w:rPr>
                <w:u w:val="single"/>
              </w:rPr>
              <w:t>Avoid Mortality, Injury, or Disturbance</w:t>
            </w:r>
            <w:r>
              <w:rPr>
                <w:u w:val="single"/>
              </w:rPr>
              <w:t xml:space="preserve"> of Individuals</w:t>
            </w:r>
          </w:p>
          <w:p w14:paraId="2317C1B7" w14:textId="77777777" w:rsidR="0029315E" w:rsidRPr="007542C2" w:rsidRDefault="0029315E" w:rsidP="00736B3D">
            <w:pPr>
              <w:pStyle w:val="TableBullet1"/>
              <w:rPr>
                <w:rFonts w:eastAsia="Calibri" w:cs="Times New Roman"/>
                <w:spacing w:val="-2"/>
              </w:rPr>
            </w:pPr>
            <w:r w:rsidRPr="002F745E">
              <w:t xml:space="preserve">The project proponent will implement </w:t>
            </w:r>
            <w:r w:rsidRPr="007542C2">
              <w:t>one</w:t>
            </w:r>
            <w:r w:rsidRPr="002F745E">
              <w:t xml:space="preserve"> of the following 2 </w:t>
            </w:r>
            <w:r>
              <w:t>measures</w:t>
            </w:r>
            <w:r w:rsidRPr="002F745E">
              <w:t xml:space="preserve"> </w:t>
            </w:r>
            <w:r>
              <w:t>to</w:t>
            </w:r>
            <w:r w:rsidRPr="002F745E">
              <w:t xml:space="preserve"> avoid </w:t>
            </w:r>
            <w:r>
              <w:t>m</w:t>
            </w:r>
            <w:r w:rsidRPr="002F745E">
              <w:t xml:space="preserve">ortality, </w:t>
            </w:r>
            <w:r>
              <w:t>i</w:t>
            </w:r>
            <w:r w:rsidRPr="002F745E">
              <w:t xml:space="preserve">njury, or </w:t>
            </w:r>
            <w:r>
              <w:t>d</w:t>
            </w:r>
            <w:r w:rsidRPr="002F745E">
              <w:t xml:space="preserve">isturbance of </w:t>
            </w:r>
            <w:r>
              <w:t>i</w:t>
            </w:r>
            <w:r w:rsidRPr="002F745E">
              <w:t>ndividuals</w:t>
            </w:r>
            <w:r>
              <w:t>:</w:t>
            </w:r>
          </w:p>
          <w:p w14:paraId="616F4340" w14:textId="2BAF2FB9" w:rsidR="0029315E" w:rsidRPr="00CF289B" w:rsidRDefault="00183DE0" w:rsidP="00183DE0">
            <w:pPr>
              <w:pStyle w:val="TableTextL"/>
              <w:spacing w:after="40"/>
              <w:ind w:left="220" w:hanging="220"/>
            </w:pPr>
            <w:r>
              <w:t>1.</w:t>
            </w:r>
            <w:r>
              <w:tab/>
            </w:r>
            <w:r w:rsidR="0029315E" w:rsidRPr="00CF289B">
              <w:t xml:space="preserve">Treatment will not be implemented within the occupied habitat. Any treatment activities outside occupied habitat will be a sufficient distance from the occupied habitat such that mortality, injury, or disturbance of the species will not occur, as </w:t>
            </w:r>
            <w:r w:rsidR="0029315E" w:rsidRPr="00CF289B">
              <w:lastRenderedPageBreak/>
              <w:t>determined by a qualified RPF or biologist</w:t>
            </w:r>
            <w:r w:rsidR="0029315E" w:rsidRPr="007058AB">
              <w:rPr>
                <w:u w:val="single"/>
              </w:rPr>
              <w:t xml:space="preserve"> using the most current and commonly-accepted science and considering published agency guidance</w:t>
            </w:r>
            <w:r w:rsidR="0029315E" w:rsidRPr="00CF289B">
              <w:t xml:space="preserve">; OR </w:t>
            </w:r>
          </w:p>
          <w:p w14:paraId="0473C9D1" w14:textId="3ED4C880" w:rsidR="0029315E" w:rsidRPr="00CF289B" w:rsidRDefault="00183DE0" w:rsidP="00183DE0">
            <w:pPr>
              <w:pStyle w:val="TableTextL"/>
              <w:ind w:left="220" w:hanging="220"/>
            </w:pPr>
            <w:r>
              <w:t>2.</w:t>
            </w:r>
            <w:r>
              <w:tab/>
            </w:r>
            <w:r w:rsidR="0029315E" w:rsidRPr="00CF289B">
              <w:t>Treatment will be implemented outside the sensitive period of the species’ life history (e.g., outside the breeding or nesting season) during which the species may be more susceptible to disturbance, or disturbance could result in loss of eggs or young. For species present year-round, CDFW and/or USFWS</w:t>
            </w:r>
            <w:r w:rsidR="0029315E" w:rsidRPr="007058AB">
              <w:rPr>
                <w:u w:val="single"/>
              </w:rPr>
              <w:t>/NOAA Fisheries</w:t>
            </w:r>
            <w:r w:rsidR="0029315E" w:rsidRPr="00CF289B">
              <w:t xml:space="preserve"> will be consulted to determine if there is a period of time within which treatment could occur that would avoid mortality, injury, or disturbance of the species. </w:t>
            </w:r>
          </w:p>
          <w:p w14:paraId="6912090D" w14:textId="77777777" w:rsidR="0029315E" w:rsidRDefault="0029315E" w:rsidP="00CF289B">
            <w:pPr>
              <w:pStyle w:val="TableBullet1"/>
            </w:pPr>
            <w:r>
              <w:t xml:space="preserve">For </w:t>
            </w:r>
            <w:r w:rsidRPr="000E6D56">
              <w:t xml:space="preserve">species listed under ESA or CESA, if the project proponent </w:t>
            </w:r>
            <w:r>
              <w:t>cannot avoid mortality, injury or disturbance by implementing one of the two options listed above, the project proponent will implement Mitigation Measure BIO-2c.</w:t>
            </w:r>
          </w:p>
          <w:p w14:paraId="73F2256A" w14:textId="77777777" w:rsidR="0029315E" w:rsidRDefault="0029315E" w:rsidP="00CF289B">
            <w:pPr>
              <w:pStyle w:val="TableBullet1"/>
            </w:pPr>
            <w:r>
              <w:t>Injury or mortality of</w:t>
            </w:r>
            <w:r w:rsidRPr="00D018DE">
              <w:t xml:space="preserve"> California Fully Protected Species </w:t>
            </w:r>
            <w:r>
              <w:t xml:space="preserve">is prohibited pursuant to </w:t>
            </w:r>
            <w:r w:rsidRPr="009532A4">
              <w:t>Sections 3511, 4700, 5050, and 5515 of the California Fish and Game Code</w:t>
            </w:r>
            <w:r w:rsidDel="00536151">
              <w:t xml:space="preserve"> </w:t>
            </w:r>
            <w:r>
              <w:t>and will</w:t>
            </w:r>
            <w:r w:rsidRPr="00D018DE">
              <w:t xml:space="preserve"> be avoided.</w:t>
            </w:r>
          </w:p>
          <w:p w14:paraId="2B9250B7" w14:textId="77777777" w:rsidR="0029315E" w:rsidRPr="00CF289B" w:rsidRDefault="0029315E" w:rsidP="00CF289B">
            <w:pPr>
              <w:pStyle w:val="TableTextL"/>
              <w:rPr>
                <w:u w:val="single"/>
              </w:rPr>
            </w:pPr>
            <w:r w:rsidRPr="00CF289B">
              <w:rPr>
                <w:u w:val="single"/>
              </w:rPr>
              <w:t>Maintain Habitat Function</w:t>
            </w:r>
          </w:p>
          <w:p w14:paraId="272F440A" w14:textId="77777777" w:rsidR="0029315E" w:rsidRDefault="0029315E" w:rsidP="00CF289B">
            <w:pPr>
              <w:pStyle w:val="TableBullet1"/>
            </w:pPr>
            <w:r>
              <w:t>The project proponent will design treatment activities to maintain the habitat function, by implementing the following:</w:t>
            </w:r>
          </w:p>
          <w:p w14:paraId="5B51F904" w14:textId="77777777" w:rsidR="0029315E" w:rsidRDefault="0029315E" w:rsidP="00CF289B">
            <w:pPr>
              <w:pStyle w:val="TableBullet2"/>
            </w:pPr>
            <w:bookmarkStart w:id="64" w:name="_Hlk10778886"/>
            <w:r w:rsidRPr="00ED0F29">
              <w:t xml:space="preserve">While performing review and surveys for </w:t>
            </w:r>
            <w:r>
              <w:t>SPR BIO</w:t>
            </w:r>
            <w:r w:rsidRPr="00ED0F29">
              <w:t>-1</w:t>
            </w:r>
            <w:r>
              <w:t xml:space="preserve"> and SPR BIO-10</w:t>
            </w:r>
            <w:r w:rsidRPr="00ED0F29">
              <w:t xml:space="preserve">, a qualified RPF or biologist will identify any habitat </w:t>
            </w:r>
            <w:r>
              <w:t>features</w:t>
            </w:r>
            <w:r w:rsidRPr="00ED0F29">
              <w:t xml:space="preserve"> that </w:t>
            </w:r>
            <w:r>
              <w:t xml:space="preserve">are </w:t>
            </w:r>
            <w:r w:rsidRPr="00F90375">
              <w:t>necessary for survival (e.g., habitat necessary for breeding, foraging, shelter, movement)</w:t>
            </w:r>
            <w:r>
              <w:t xml:space="preserve"> of</w:t>
            </w:r>
            <w:r w:rsidRPr="00ED0F29">
              <w:t xml:space="preserve"> </w:t>
            </w:r>
            <w:r>
              <w:t>the affected</w:t>
            </w:r>
            <w:r w:rsidRPr="00ED0F29">
              <w:t xml:space="preserve"> wildlife species (e.g., trees with complex structure, </w:t>
            </w:r>
            <w:r>
              <w:t xml:space="preserve">trees with large </w:t>
            </w:r>
            <w:r w:rsidRPr="00ED0F29">
              <w:t xml:space="preserve">cavities, </w:t>
            </w:r>
            <w:r>
              <w:t xml:space="preserve">trees with </w:t>
            </w:r>
            <w:r w:rsidRPr="00ED0F29">
              <w:t>nesting platforms</w:t>
            </w:r>
            <w:r>
              <w:t>;</w:t>
            </w:r>
            <w:r w:rsidRPr="00ED0F29">
              <w:t xml:space="preserve"> </w:t>
            </w:r>
            <w:r w:rsidRPr="007058AB">
              <w:rPr>
                <w:u w:val="single"/>
              </w:rPr>
              <w:t xml:space="preserve">dens; </w:t>
            </w:r>
            <w:r w:rsidRPr="00ED0F29">
              <w:t>tree snags</w:t>
            </w:r>
            <w:r>
              <w:t>; large raptor nests [including inactive nests]; downed woody debris</w:t>
            </w:r>
            <w:r w:rsidRPr="007058AB">
              <w:rPr>
                <w:u w:val="single"/>
              </w:rPr>
              <w:t>; food sources</w:t>
            </w:r>
            <w:r w:rsidRPr="00ED0F29">
              <w:t>)</w:t>
            </w:r>
            <w:r>
              <w:t xml:space="preserve">. </w:t>
            </w:r>
            <w:bookmarkEnd w:id="64"/>
            <w:r>
              <w:t>T</w:t>
            </w:r>
            <w:r w:rsidRPr="00ED0F29">
              <w:t xml:space="preserve">hese habitat </w:t>
            </w:r>
            <w:r>
              <w:t>features</w:t>
            </w:r>
            <w:r w:rsidRPr="00ED0F29">
              <w:t xml:space="preserve"> will be marked</w:t>
            </w:r>
            <w:r>
              <w:t xml:space="preserve"> and treatments applied to the features will be designed to </w:t>
            </w:r>
            <w:r w:rsidRPr="00ED0F29">
              <w:t xml:space="preserve">minimize or avoid the loss or degradation of suitable habitat for </w:t>
            </w:r>
            <w:r>
              <w:t>listed</w:t>
            </w:r>
            <w:r w:rsidRPr="00ED0F29">
              <w:t xml:space="preserve"> species</w:t>
            </w:r>
            <w:r>
              <w:t xml:space="preserve"> during treatments. Identification and treatment of these features will be based on the life history and habitat requirements of the affected species</w:t>
            </w:r>
            <w:r w:rsidRPr="007058AB">
              <w:rPr>
                <w:u w:val="single"/>
              </w:rPr>
              <w:t xml:space="preserve"> and the most current, commonly accepted science</w:t>
            </w:r>
            <w:r>
              <w:rPr>
                <w:rFonts w:eastAsia="Calibri" w:cs="Times New Roman"/>
                <w:spacing w:val="-2"/>
              </w:rPr>
              <w:t>.</w:t>
            </w:r>
          </w:p>
          <w:p w14:paraId="72CAEFEF" w14:textId="77777777" w:rsidR="0029315E" w:rsidRDefault="0029315E" w:rsidP="00CF289B">
            <w:pPr>
              <w:pStyle w:val="TableBullet2"/>
            </w:pPr>
            <w:r>
              <w:t xml:space="preserve">If it is determined during implementation of SPR BIO-1 and SPR BIO-10 that listed or fully protected wildlife with specific requirements for high canopy cover (e.g., Humboldt marten, fisher, spotted owl, coastal California gnatcatcher, riparian woodrat) are present within a treatment area, then tree </w:t>
            </w:r>
            <w:r>
              <w:lastRenderedPageBreak/>
              <w:t xml:space="preserve">or shrub canopy cover within existing suitable areas will be retained at the percentage preferred by the species (as determined by expert opinion, published habitat association information, or other documented standards that are commonly accepted [e.g., 50 percent for coastal California gnatcatcher]) such that habitat function is maintained. </w:t>
            </w:r>
          </w:p>
          <w:p w14:paraId="6E6389B9" w14:textId="77777777" w:rsidR="0029315E" w:rsidRDefault="0029315E" w:rsidP="00CF289B">
            <w:pPr>
              <w:pStyle w:val="TableBullet1"/>
              <w:rPr>
                <w:rFonts w:eastAsia="Calibri" w:cs="Times New Roman"/>
                <w:spacing w:val="-2"/>
              </w:rPr>
            </w:pPr>
            <w:r>
              <w:t xml:space="preserve">A qualified RPF or biologist will determine if, after implementation of the impact avoidance measures listed above, the habitat function will remain for the affected species after implementation of the treatment. Because this measure pertains to species listed under CESA or ESA or are fully protected, </w:t>
            </w:r>
            <w:bookmarkStart w:id="65" w:name="_Hlk19623302"/>
            <w:r>
              <w:t>the qualified RPF or biologist will consult with CDFW and/or USFWS</w:t>
            </w:r>
            <w:r w:rsidRPr="007058AB">
              <w:rPr>
                <w:u w:val="single"/>
              </w:rPr>
              <w:t>/NOAA Fisheries</w:t>
            </w:r>
            <w:r>
              <w:t xml:space="preserve"> regarding the determination that habitat function is maintained. </w:t>
            </w:r>
            <w:bookmarkEnd w:id="65"/>
            <w:r>
              <w:t>If consultation determines that the treatment will not maintain habitat function for the special-status species, the project proponent will implement</w:t>
            </w:r>
            <w:r w:rsidRPr="008741F0">
              <w:t xml:space="preserve"> </w:t>
            </w:r>
            <w:r>
              <w:t>Mitigation Measure BIO-2c.</w:t>
            </w:r>
          </w:p>
          <w:p w14:paraId="7BA77F9B" w14:textId="77777777" w:rsidR="0029315E" w:rsidRPr="00CF289B" w:rsidRDefault="0029315E" w:rsidP="00CF289B">
            <w:pPr>
              <w:pStyle w:val="TableTextL"/>
              <w:rPr>
                <w:b/>
              </w:rPr>
            </w:pPr>
            <w:r w:rsidRPr="00CF289B">
              <w:rPr>
                <w:b/>
              </w:rPr>
              <w:t>Mitigation Measure BIO-2b: Avoid Mortality, Injury, or Disturbance and Maintain Habitat Function for Other Special-Status Wildlife Species (All Treatment Activities)</w:t>
            </w:r>
          </w:p>
          <w:p w14:paraId="63D751D2" w14:textId="77777777" w:rsidR="0029315E" w:rsidRDefault="0029315E" w:rsidP="00CF289B">
            <w:pPr>
              <w:pStyle w:val="TableTextL"/>
              <w:rPr>
                <w:rFonts w:eastAsia="Calibri" w:cs="Times New Roman"/>
                <w:spacing w:val="-2"/>
              </w:rPr>
            </w:pPr>
            <w:r w:rsidRPr="00A809BC">
              <w:rPr>
                <w:rFonts w:eastAsia="Calibri" w:cs="Times New Roman"/>
                <w:spacing w:val="-2"/>
              </w:rPr>
              <w:t xml:space="preserve">If </w:t>
            </w:r>
            <w:r>
              <w:rPr>
                <w:rFonts w:eastAsia="Calibri" w:cs="Times New Roman"/>
                <w:spacing w:val="-2"/>
              </w:rPr>
              <w:t>other special-status wildlife species (i.e., species not listed under CESA or ESA or California Fully Protected, but meeting the definition of special status as stated in Section 3.6.1 of the Program EIR) are observed during reconnaissance surveys (conducted pursuant to SPR BIO-1) or focused or protocol-level surveys (conducted pursuant to SPR BIO-10), the project proponent will avoid or minimize adverse effects to the species by implementing the following.</w:t>
            </w:r>
          </w:p>
          <w:p w14:paraId="566AD083" w14:textId="77777777" w:rsidR="0029315E" w:rsidRDefault="0029315E" w:rsidP="00CF289B">
            <w:pPr>
              <w:pStyle w:val="TableTextL"/>
              <w:rPr>
                <w:u w:val="single"/>
              </w:rPr>
            </w:pPr>
            <w:r w:rsidRPr="00A83DBB">
              <w:rPr>
                <w:u w:val="single"/>
              </w:rPr>
              <w:t>Avoid Mortality, Injury, or Disturbance</w:t>
            </w:r>
            <w:r>
              <w:rPr>
                <w:u w:val="single"/>
              </w:rPr>
              <w:t xml:space="preserve"> of Individuals</w:t>
            </w:r>
          </w:p>
          <w:p w14:paraId="5ACE08A8" w14:textId="77777777" w:rsidR="0029315E" w:rsidRPr="00A83DBB" w:rsidRDefault="0029315E" w:rsidP="00CF289B">
            <w:pPr>
              <w:pStyle w:val="TableBullet1"/>
              <w:rPr>
                <w:rFonts w:eastAsia="Calibri" w:cs="Times New Roman"/>
                <w:spacing w:val="-2"/>
              </w:rPr>
            </w:pPr>
            <w:r w:rsidRPr="00A83DBB">
              <w:t xml:space="preserve">The project proponent will implement the following </w:t>
            </w:r>
            <w:r>
              <w:t>to</w:t>
            </w:r>
            <w:r w:rsidRPr="00A83DBB">
              <w:t xml:space="preserve"> avoid </w:t>
            </w:r>
            <w:r>
              <w:t>m</w:t>
            </w:r>
            <w:r w:rsidRPr="00A83DBB">
              <w:t xml:space="preserve">ortality, </w:t>
            </w:r>
            <w:r>
              <w:t>i</w:t>
            </w:r>
            <w:r w:rsidRPr="00A83DBB">
              <w:t xml:space="preserve">njury, or </w:t>
            </w:r>
            <w:r>
              <w:t>d</w:t>
            </w:r>
            <w:r w:rsidRPr="00A83DBB">
              <w:t xml:space="preserve">isturbance of </w:t>
            </w:r>
            <w:r>
              <w:t>i</w:t>
            </w:r>
            <w:r w:rsidRPr="00A83DBB">
              <w:t>ndividuals</w:t>
            </w:r>
            <w:r>
              <w:t>:</w:t>
            </w:r>
          </w:p>
          <w:p w14:paraId="2D2EF16B" w14:textId="77777777" w:rsidR="0029315E" w:rsidRPr="007058AB" w:rsidRDefault="0029315E" w:rsidP="00CF289B">
            <w:pPr>
              <w:pStyle w:val="TableTextL"/>
              <w:rPr>
                <w:u w:val="single"/>
              </w:rPr>
            </w:pPr>
            <w:r w:rsidRPr="00CF289B">
              <w:t xml:space="preserve">For all treatment activities except prescribed burning, the project proponent will establish a no-disturbance buffer around </w:t>
            </w:r>
            <w:r w:rsidRPr="00CF289B">
              <w:rPr>
                <w:rFonts w:eastAsia="Calibri" w:cs="Times New Roman"/>
              </w:rPr>
              <w:t>occupied sites (e.g., nests, dens, roosts, middens, burrows, nurseries)</w:t>
            </w:r>
            <w:r w:rsidRPr="00CF289B">
              <w:t>. Buffer size will be determined by a qualified RPF or biologist</w:t>
            </w:r>
            <w:r w:rsidRPr="007058AB">
              <w:rPr>
                <w:u w:val="single"/>
              </w:rPr>
              <w:t xml:space="preserve"> using the most current, commonly accepted science and will consider published agency guidance</w:t>
            </w:r>
            <w:r w:rsidRPr="00CF289B">
              <w:t>; however, buffers will generally be a minimum of 100 feet, unless site conditions indicate a smaller buffer would be sufficient for protection or a larger buffer would be needed. Factors to be considered in determining buffer size will include, but not be limited to,</w:t>
            </w:r>
            <w:r w:rsidRPr="007058AB">
              <w:rPr>
                <w:u w:val="single"/>
              </w:rPr>
              <w:t xml:space="preserve"> the species’ tolerance to disturbance;</w:t>
            </w:r>
            <w:r w:rsidRPr="00CF289B">
              <w:t xml:space="preserve"> the presence of natural buffers provided by vegetation or topography; nest height; locations of foraging territory; baseline levels of noise and human </w:t>
            </w:r>
            <w:r w:rsidRPr="00CF289B">
              <w:lastRenderedPageBreak/>
              <w:t>activity; and treatment activity. Buffer size may be adjusted if the qualified RPF or biologist determines that such an adjustment would not be likely to adversely affect (i.e., cause mortality, injury, or disturbance to) the species within the nest, den, burrow, or other occupied site.</w:t>
            </w:r>
            <w:r w:rsidRPr="007058AB">
              <w:rPr>
                <w:u w:val="single"/>
              </w:rPr>
              <w:t xml:space="preserve"> If a no-disturbance buffer is reduced below 100 feet from an occupied site, a qualified RPF or biologist will provide the project proponent with a site- and/or treatment activity-specific explanation for the buffer reduction, which will be included in the PSA. After completion of the PSA and prior to or during treatment implementation, if there is any deviation (e.g., further reduction) from the reduced buffer as explained in the PSA, this will be documented in the post-project implementation report (referred to by CAL FIRE as a Completion Report).</w:t>
            </w:r>
          </w:p>
          <w:p w14:paraId="7CF06E48" w14:textId="77777777" w:rsidR="0029315E" w:rsidRPr="004F2D3B" w:rsidRDefault="0029315E" w:rsidP="007252C1">
            <w:pPr>
              <w:pStyle w:val="TableBullet2"/>
            </w:pPr>
            <w:r w:rsidRPr="00A4035B">
              <w:t>No-disturbance buffers will be marked with high-visibility flagging, fencing, stakes, or clear, existing landscape demarcations (e.g., edge of a roadway). No activity will occur within the buffer areas until the qualified RPF or biologist has de</w:t>
            </w:r>
            <w:r w:rsidRPr="00CE0694">
              <w:t>termined that the young have fledged or dispersed</w:t>
            </w:r>
            <w:r>
              <w:t>;</w:t>
            </w:r>
            <w:r w:rsidRPr="00CE0694">
              <w:t xml:space="preserve"> the nest, den, or other occurrence is no longer active</w:t>
            </w:r>
            <w:r>
              <w:t>;</w:t>
            </w:r>
            <w:r w:rsidRPr="00CE0694">
              <w:t xml:space="preserve"> or reducing the buffer would not likely result in</w:t>
            </w:r>
            <w:r w:rsidRPr="00D655DB">
              <w:t xml:space="preserve"> disturbance</w:t>
            </w:r>
            <w:r w:rsidRPr="004332B0">
              <w:t>, mortality, or injury. A qualified RPF, biologist, or biological technician</w:t>
            </w:r>
            <w:r w:rsidRPr="00DC7AD9">
              <w:t xml:space="preserve"> </w:t>
            </w:r>
            <w:r w:rsidRPr="007058AB">
              <w:rPr>
                <w:strike/>
              </w:rPr>
              <w:t>may</w:t>
            </w:r>
            <w:r w:rsidRPr="00DC7AD9">
              <w:t xml:space="preserve"> </w:t>
            </w:r>
            <w:r w:rsidRPr="007058AB">
              <w:rPr>
                <w:u w:val="single"/>
              </w:rPr>
              <w:t>will</w:t>
            </w:r>
            <w:r w:rsidRPr="00DC7AD9">
              <w:t xml:space="preserve"> be required to monitor </w:t>
            </w:r>
            <w:r w:rsidRPr="007058AB">
              <w:rPr>
                <w:u w:val="single"/>
              </w:rPr>
              <w:t xml:space="preserve">the effectiveness of the no-disturbance buffer around </w:t>
            </w:r>
            <w:r w:rsidRPr="00DC7AD9">
              <w:t xml:space="preserve">the nest, den, burrow, or other occurrence during </w:t>
            </w:r>
            <w:r w:rsidRPr="000A3FDB">
              <w:t>treatment</w:t>
            </w:r>
            <w:r w:rsidRPr="007058AB">
              <w:rPr>
                <w:strike/>
              </w:rPr>
              <w:t xml:space="preserve"> if the treatment activity has the potential to result in mortality, injury, or disturbance</w:t>
            </w:r>
            <w:r w:rsidRPr="00F90375">
              <w:t>.</w:t>
            </w:r>
            <w:r w:rsidRPr="007058AB">
              <w:rPr>
                <w:u w:val="single"/>
              </w:rPr>
              <w:t xml:space="preserve"> </w:t>
            </w:r>
            <w:bookmarkStart w:id="66" w:name="_Hlk20404279"/>
            <w:r w:rsidRPr="007058AB">
              <w:rPr>
                <w:u w:val="single"/>
              </w:rPr>
              <w:t>If treatment activities cause agitated behavior of the individual(s), the buffer distance will be increased, or treatment activities modified until the agitated behavior stops. The qualified RPF, biologist, or biological technician will have the authority to stop any treatment activities that could result in mortality, injury or disturbance to special-status species</w:t>
            </w:r>
            <w:bookmarkEnd w:id="66"/>
            <w:r w:rsidRPr="007058AB">
              <w:rPr>
                <w:u w:val="single"/>
              </w:rPr>
              <w:t>.</w:t>
            </w:r>
          </w:p>
          <w:p w14:paraId="2EC3CD3F" w14:textId="77777777" w:rsidR="0029315E" w:rsidRDefault="0029315E" w:rsidP="007252C1">
            <w:pPr>
              <w:pStyle w:val="TableBullet2"/>
            </w:pPr>
            <w:r w:rsidRPr="00AB23D1">
              <w:t>For prescribed burning, the project proponent will implement the treatment outside the sensitive period of the species’ life history (e.g., outside the breeding or nesting season) during which the species may be more susceptible</w:t>
            </w:r>
            <w:r>
              <w:t xml:space="preserve"> to disturbance, or disturbance could result in loss of eggs or young. For species present year-round, </w:t>
            </w:r>
            <w:r w:rsidRPr="00A83DBB">
              <w:t xml:space="preserve">the qualified RPF or biologist </w:t>
            </w:r>
            <w:r>
              <w:t xml:space="preserve">will determine the period of time within which prescribed burning could occur that will avoid or minimize mortality, injury, or disturbance of the species. The </w:t>
            </w:r>
            <w:r>
              <w:lastRenderedPageBreak/>
              <w:t>project proponent may consult with CDFW and/or USFWS for technical information regarding appropriate limited operating periods.</w:t>
            </w:r>
          </w:p>
          <w:p w14:paraId="28A5C4ED" w14:textId="77777777" w:rsidR="0029315E" w:rsidRPr="007252C1" w:rsidRDefault="0029315E" w:rsidP="0029315E">
            <w:pPr>
              <w:pStyle w:val="Mitigationtext"/>
              <w:rPr>
                <w:sz w:val="18"/>
                <w:szCs w:val="18"/>
                <w:u w:val="single"/>
              </w:rPr>
            </w:pPr>
            <w:r w:rsidRPr="007252C1">
              <w:rPr>
                <w:sz w:val="18"/>
                <w:szCs w:val="18"/>
                <w:u w:val="single"/>
              </w:rPr>
              <w:t>Maintain Habitat Function</w:t>
            </w:r>
          </w:p>
          <w:p w14:paraId="7A80862B" w14:textId="77777777" w:rsidR="0029315E" w:rsidRDefault="0029315E" w:rsidP="007252C1">
            <w:pPr>
              <w:pStyle w:val="TableBullet1"/>
            </w:pPr>
            <w:r>
              <w:t>For all treatment activities, the project proponent will design treatment activities to maintain the habitat function by implementing the following:</w:t>
            </w:r>
          </w:p>
          <w:p w14:paraId="2FA82A2A" w14:textId="77777777" w:rsidR="0029315E" w:rsidRDefault="0029315E" w:rsidP="007252C1">
            <w:pPr>
              <w:pStyle w:val="TableBullet2"/>
            </w:pPr>
            <w:r w:rsidRPr="00ED0F29">
              <w:t xml:space="preserve">While performing review and surveys for </w:t>
            </w:r>
            <w:r>
              <w:t>SPR BIO</w:t>
            </w:r>
            <w:r w:rsidRPr="00ED0F29">
              <w:t>-1</w:t>
            </w:r>
            <w:r>
              <w:t xml:space="preserve"> and SPR BIO-10</w:t>
            </w:r>
            <w:r w:rsidRPr="00ED0F29">
              <w:t xml:space="preserve">, a qualified RPF or biologist will identify any habitat </w:t>
            </w:r>
            <w:r>
              <w:t>features</w:t>
            </w:r>
            <w:r w:rsidRPr="00ED0F29">
              <w:t xml:space="preserve"> that </w:t>
            </w:r>
            <w:r>
              <w:t xml:space="preserve">are necessary for </w:t>
            </w:r>
            <w:r w:rsidRPr="00F90375">
              <w:t>survival (e.g., habitat necessary for breeding, foraging, shelter, movement)</w:t>
            </w:r>
            <w:r>
              <w:t xml:space="preserve"> of</w:t>
            </w:r>
            <w:r w:rsidRPr="00ED0F29">
              <w:t xml:space="preserve"> </w:t>
            </w:r>
            <w:r>
              <w:t xml:space="preserve">the affected </w:t>
            </w:r>
            <w:r w:rsidRPr="00ED0F29">
              <w:t xml:space="preserve">wildlife species (e.g., trees with complex structure, </w:t>
            </w:r>
            <w:r>
              <w:t xml:space="preserve">trees with large </w:t>
            </w:r>
            <w:r w:rsidRPr="00ED0F29">
              <w:t xml:space="preserve">cavities, </w:t>
            </w:r>
            <w:r>
              <w:t xml:space="preserve">trees with </w:t>
            </w:r>
            <w:r w:rsidRPr="00ED0F29">
              <w:t>nesting platforms</w:t>
            </w:r>
            <w:r>
              <w:t>;</w:t>
            </w:r>
            <w:r w:rsidRPr="00ED0F29">
              <w:t xml:space="preserve"> tree snags</w:t>
            </w:r>
            <w:r>
              <w:t>; large raptor nests [including inactive nests]; downed woody debris</w:t>
            </w:r>
            <w:r w:rsidRPr="00ED0F29">
              <w:t>)</w:t>
            </w:r>
            <w:r>
              <w:t>. T</w:t>
            </w:r>
            <w:r w:rsidRPr="00ED0F29">
              <w:t xml:space="preserve">hese habitat </w:t>
            </w:r>
            <w:r>
              <w:t>features</w:t>
            </w:r>
            <w:r w:rsidRPr="00ED0F29">
              <w:t xml:space="preserve"> will be marked</w:t>
            </w:r>
            <w:r>
              <w:t xml:space="preserve"> and treatments applied to the features will be designed to </w:t>
            </w:r>
            <w:r w:rsidRPr="00ED0F29">
              <w:t xml:space="preserve">minimize or avoid the loss or degradation of suitable habitat for </w:t>
            </w:r>
            <w:r>
              <w:t>listed</w:t>
            </w:r>
            <w:r w:rsidRPr="00ED0F29">
              <w:t xml:space="preserve"> species</w:t>
            </w:r>
            <w:r>
              <w:t xml:space="preserve"> during treatments. Identification and treatment of these features will be based on the life history and habitat requirements of the affected species</w:t>
            </w:r>
            <w:r w:rsidRPr="007058AB">
              <w:rPr>
                <w:u w:val="single"/>
              </w:rPr>
              <w:t xml:space="preserve"> and the most current, commonly accepted science</w:t>
            </w:r>
            <w:r>
              <w:rPr>
                <w:rFonts w:eastAsia="Calibri" w:cs="Times New Roman"/>
                <w:spacing w:val="-2"/>
              </w:rPr>
              <w:t>.</w:t>
            </w:r>
            <w:r w:rsidRPr="00ED0F29">
              <w:t xml:space="preserve"> </w:t>
            </w:r>
          </w:p>
          <w:p w14:paraId="6166618D" w14:textId="77777777" w:rsidR="0029315E" w:rsidRDefault="0029315E" w:rsidP="007252C1">
            <w:pPr>
              <w:pStyle w:val="TableBullet2"/>
            </w:pPr>
            <w:r>
              <w:t xml:space="preserve">If it is determined during implementation of SPR BIO-1 and SPR BIO-10 that special-status wildlife with specific requirements for high canopy cover (e.g., northern goshawk, Sierra Nevada snowshoe hare) are present within a treatment area, then tree or shrub canopy cover within existing suitable areas will be retained at the percentage preferred by the species (as determined by expert opinion, published habitat association information, or other documented standards that are commonly accepted) such that the habitat function is maintained. </w:t>
            </w:r>
          </w:p>
          <w:p w14:paraId="2FB94553" w14:textId="77777777" w:rsidR="0029315E" w:rsidRDefault="0029315E" w:rsidP="007252C1">
            <w:pPr>
              <w:pStyle w:val="TableBullet1"/>
            </w:pPr>
            <w:r>
              <w:t xml:space="preserve">A qualified RPF or biologist will determine if, after implementation of the impact avoidance measures listed above, the habitat function will remain for the affected species after implementation of the treatment. </w:t>
            </w:r>
            <w:bookmarkStart w:id="67" w:name="_Hlk19629875"/>
            <w:r>
              <w:t xml:space="preserve">The qualified RPF or biologist may consult with CDFW and/or USFWS for technical information regarding habitat function. </w:t>
            </w:r>
          </w:p>
          <w:bookmarkEnd w:id="63"/>
          <w:bookmarkEnd w:id="67"/>
          <w:p w14:paraId="71A55897" w14:textId="77777777" w:rsidR="0029315E" w:rsidRPr="00C40390" w:rsidRDefault="0029315E" w:rsidP="007252C1">
            <w:pPr>
              <w:pStyle w:val="TableTextL"/>
            </w:pPr>
            <w:r w:rsidRPr="00C40390">
              <w:t xml:space="preserve">A qualified RPF or biologist with knowledge of the special-status wildlife species habitat and life history will review the treatment design and applicable impact minimization measures (potentially including others not listed above) to determine if the anticipated residual effects of the treatment would be significant under CEQA </w:t>
            </w:r>
            <w:r w:rsidRPr="00C40390">
              <w:lastRenderedPageBreak/>
              <w:t xml:space="preserve">because implementation of the treatment will not maintain habitat function of the special-status wildlife species’ habitat or because the loss of special-status wildlife would substantially reduce the number or restrict the range of a special-status wildlife species. If the project proponent determines the impact on special-status wildlife would be less than significant, no further mitigation will be required. If the project proponent determines that the loss of special-status wildlife or degradation of occupied habitat would be significant under CEQA after implementing feasible treatment design alternatives and impact minimization measures, then Mitigation Measure BIO-2c will be implemented. </w:t>
            </w:r>
          </w:p>
          <w:p w14:paraId="6F449815" w14:textId="77777777" w:rsidR="0029315E" w:rsidRPr="00C514D6" w:rsidRDefault="0029315E" w:rsidP="007252C1">
            <w:pPr>
              <w:pStyle w:val="TableTextL"/>
            </w:pPr>
            <w:r w:rsidRPr="00FB2671">
              <w:t>The only exception to this</w:t>
            </w:r>
            <w:r>
              <w:t xml:space="preserve"> mitigation approach</w:t>
            </w:r>
            <w:r w:rsidRPr="00FB2671">
              <w:t xml:space="preserve"> is in cases where it is determined by a qualified RPF or biologist that the </w:t>
            </w:r>
            <w:r w:rsidRPr="007058AB">
              <w:rPr>
                <w:u w:val="single"/>
              </w:rPr>
              <w:t xml:space="preserve">non-listed </w:t>
            </w:r>
            <w:r w:rsidRPr="00FB2671">
              <w:t>special-status wildlife would benefit from treatment in the occupied habitat area even though some of the non-listed special-status wildlife may be killed, injured</w:t>
            </w:r>
            <w:r>
              <w:t>,</w:t>
            </w:r>
            <w:r w:rsidRPr="00FB2671">
              <w:t xml:space="preserve"> or disturbed during treatment activities. </w:t>
            </w:r>
            <w:r w:rsidRPr="007058AB">
              <w:rPr>
                <w:u w:val="single"/>
              </w:rPr>
              <w:t xml:space="preserve">For a treatment to be considered beneficial to non-listed special-status wildlife,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and the substantial evidence will be included in the PSA. </w:t>
            </w:r>
            <w:r w:rsidRPr="007252C1">
              <w:t>If it is determined that treatment activities would be beneficial to special-status wildlife, no compensatory mitigation</w:t>
            </w:r>
            <w:r w:rsidRPr="00FB2671">
              <w:t xml:space="preserve"> will be required.</w:t>
            </w:r>
            <w:r>
              <w:t xml:space="preserve"> </w:t>
            </w:r>
            <w:r w:rsidRPr="007058AB">
              <w:rPr>
                <w:u w:val="single"/>
              </w:rPr>
              <w:t>The qualified RPF or biologist may consult with CDFW and/or USFWS for technical information regarding the determination that a non-listed special-status species would benefit from the treatment.</w:t>
            </w:r>
          </w:p>
          <w:p w14:paraId="358B47F4" w14:textId="77777777" w:rsidR="0029315E" w:rsidRPr="007252C1" w:rsidRDefault="0029315E" w:rsidP="007252C1">
            <w:pPr>
              <w:pStyle w:val="TableTextL"/>
              <w:rPr>
                <w:b/>
              </w:rPr>
            </w:pPr>
            <w:bookmarkStart w:id="68" w:name="_Hlk10552568"/>
            <w:r w:rsidRPr="007252C1">
              <w:rPr>
                <w:b/>
              </w:rPr>
              <w:t>Mitigation Measure BIO-2c: Compensate for Mortality, Injury, or Disturbance and Loss of Habitat Function for Special-Status Wildlife if Applicable (All Treatment Activities)</w:t>
            </w:r>
          </w:p>
          <w:p w14:paraId="3B542BE4" w14:textId="77777777" w:rsidR="0029315E" w:rsidRDefault="0029315E" w:rsidP="007252C1">
            <w:pPr>
              <w:pStyle w:val="TableTextL"/>
            </w:pPr>
            <w:r w:rsidRPr="00A809BC">
              <w:t xml:space="preserve">If </w:t>
            </w:r>
            <w:r>
              <w:t xml:space="preserve">the provisions of Mitigation Measure BIO-2a, BIO-2b, BIO-2d, BIO-2e, BIO-2f, or BIO-2g cannot be implemented and the project proponent determines that additional mitigation is necessary to reduce significant </w:t>
            </w:r>
            <w:r w:rsidRPr="000A3FDB">
              <w:t>impacts</w:t>
            </w:r>
            <w:r>
              <w:t xml:space="preserve">, the project proponent will compensate for such impacts to species or habitat </w:t>
            </w:r>
            <w:r w:rsidRPr="002F745E">
              <w:t>by acquiring and</w:t>
            </w:r>
            <w:r>
              <w:t>/or</w:t>
            </w:r>
            <w:r w:rsidRPr="002F745E">
              <w:t xml:space="preserve"> protecting land that provide</w:t>
            </w:r>
            <w:r>
              <w:t>s (or will provide in the case of restoration)</w:t>
            </w:r>
            <w:r w:rsidRPr="002F745E">
              <w:t xml:space="preserve"> </w:t>
            </w:r>
            <w:r>
              <w:t xml:space="preserve">habitat function </w:t>
            </w:r>
            <w:r w:rsidRPr="002F745E">
              <w:t>for</w:t>
            </w:r>
            <w:r>
              <w:t xml:space="preserve"> affected species </w:t>
            </w:r>
            <w:r w:rsidRPr="002F745E">
              <w:t xml:space="preserve">that is </w:t>
            </w:r>
            <w:r>
              <w:t xml:space="preserve">at least </w:t>
            </w:r>
            <w:r w:rsidRPr="002F745E">
              <w:t xml:space="preserve">equivalent </w:t>
            </w:r>
            <w:r>
              <w:t>to the</w:t>
            </w:r>
            <w:r w:rsidRPr="002F745E">
              <w:t xml:space="preserve"> habitat </w:t>
            </w:r>
            <w:r>
              <w:t xml:space="preserve">function </w:t>
            </w:r>
            <w:r w:rsidRPr="002F745E">
              <w:t>removed or</w:t>
            </w:r>
            <w:r>
              <w:t xml:space="preserve"> </w:t>
            </w:r>
            <w:r w:rsidRPr="002F745E">
              <w:t xml:space="preserve">degraded </w:t>
            </w:r>
            <w:r>
              <w:t xml:space="preserve">as a result of the treatment. </w:t>
            </w:r>
          </w:p>
          <w:p w14:paraId="272491E9" w14:textId="77777777" w:rsidR="0029315E" w:rsidRDefault="0029315E" w:rsidP="007252C1">
            <w:pPr>
              <w:pStyle w:val="TableTextL"/>
            </w:pPr>
            <w:r w:rsidRPr="002F745E">
              <w:lastRenderedPageBreak/>
              <w:t>Compensation may include</w:t>
            </w:r>
            <w:r>
              <w:t>:</w:t>
            </w:r>
          </w:p>
          <w:p w14:paraId="40FE6772" w14:textId="77777777" w:rsidR="0029315E" w:rsidRPr="007252C1" w:rsidRDefault="0029315E" w:rsidP="00113354">
            <w:pPr>
              <w:pStyle w:val="TableTextL"/>
              <w:spacing w:after="40"/>
              <w:ind w:left="220" w:hanging="220"/>
            </w:pPr>
            <w:r w:rsidRPr="008F1C11">
              <w:t xml:space="preserve">1. </w:t>
            </w:r>
            <w:r>
              <w:tab/>
            </w:r>
            <w:r w:rsidRPr="007252C1">
              <w:t>Preserving existing habitat outside of the treatment area in perpetuity; this may entail purchasing mitigation credits and/or lands from a CDFW- or USFWS-approved entity in sufficient quantity to offset the residual significant impacts, generally at a ratio of 1:1 for habitat; and</w:t>
            </w:r>
          </w:p>
          <w:p w14:paraId="7AD3450C" w14:textId="77777777" w:rsidR="0029315E" w:rsidRPr="007252C1" w:rsidRDefault="0029315E" w:rsidP="00113354">
            <w:pPr>
              <w:pStyle w:val="TableTextL"/>
              <w:spacing w:after="40"/>
              <w:ind w:left="220" w:hanging="220"/>
            </w:pPr>
            <w:r w:rsidRPr="007252C1">
              <w:t xml:space="preserve">2. </w:t>
            </w:r>
            <w:r w:rsidRPr="007252C1">
              <w:tab/>
              <w:t xml:space="preserve">Restoring or enhancing </w:t>
            </w:r>
            <w:r w:rsidRPr="007058AB">
              <w:rPr>
                <w:u w:val="single"/>
              </w:rPr>
              <w:t xml:space="preserve">existing </w:t>
            </w:r>
            <w:r w:rsidRPr="007252C1">
              <w:t xml:space="preserve">habitat within the treatment area or outside of the treatment area (including decommissioning roads, adding </w:t>
            </w:r>
            <w:r w:rsidRPr="007058AB">
              <w:rPr>
                <w:strike/>
              </w:rPr>
              <w:t xml:space="preserve">or removing </w:t>
            </w:r>
            <w:r w:rsidRPr="007252C1">
              <w:t xml:space="preserve">perching structures, </w:t>
            </w:r>
            <w:r w:rsidRPr="007058AB">
              <w:rPr>
                <w:u w:val="single"/>
              </w:rPr>
              <w:t xml:space="preserve">removing existing perching structures, </w:t>
            </w:r>
            <w:r w:rsidRPr="007252C1">
              <w:t xml:space="preserve">or removing </w:t>
            </w:r>
            <w:r w:rsidRPr="007058AB">
              <w:rPr>
                <w:u w:val="single"/>
              </w:rPr>
              <w:t xml:space="preserve">existing </w:t>
            </w:r>
            <w:r w:rsidRPr="007252C1">
              <w:t xml:space="preserve">movement barriers or other </w:t>
            </w:r>
            <w:r w:rsidRPr="007058AB">
              <w:rPr>
                <w:u w:val="single"/>
              </w:rPr>
              <w:t xml:space="preserve">existing </w:t>
            </w:r>
            <w:r w:rsidRPr="007252C1">
              <w:t xml:space="preserve">features that are adversely affecting the species). </w:t>
            </w:r>
          </w:p>
          <w:p w14:paraId="160CC5E3" w14:textId="77777777" w:rsidR="0029315E" w:rsidRPr="00C15B89" w:rsidRDefault="0029315E" w:rsidP="00183DE0">
            <w:pPr>
              <w:pStyle w:val="TableTextL"/>
            </w:pPr>
            <w:r>
              <w:t xml:space="preserve">The project proponent will </w:t>
            </w:r>
            <w:r w:rsidRPr="00F90375">
              <w:t>prepare a Compensat</w:t>
            </w:r>
            <w:r>
              <w:t xml:space="preserve">ory Mitigation Plan that identifies </w:t>
            </w:r>
            <w:r w:rsidRPr="00C15B89">
              <w:t>the residual significant effects that require compensatory mitigation and describes the compensatory mitigation strategy being implemented to reduce residual effects, and:</w:t>
            </w:r>
          </w:p>
          <w:p w14:paraId="031057EE" w14:textId="77777777" w:rsidR="0029315E" w:rsidRPr="007252C1" w:rsidRDefault="0029315E" w:rsidP="00113354">
            <w:pPr>
              <w:pStyle w:val="TableTextL"/>
              <w:spacing w:after="40"/>
              <w:ind w:left="220" w:hanging="220"/>
            </w:pPr>
            <w:r w:rsidRPr="00C15B89">
              <w:t xml:space="preserve">1. </w:t>
            </w:r>
            <w:r>
              <w:tab/>
            </w:r>
            <w:r w:rsidRPr="007252C1">
              <w:t>For preserving existing habitat outside of the treatment area in perpetuity, the Compensatory Mitigation Plan will include a summary of the proposed compensation lands (e.g., the number and type of credits, location of mitigation bank or easement), parties responsible for the long-term management of the land, and the legal and funding mechanisms for long-term conservation (e.g., holder of conservation easement or fee title). The project proponent will submit evidence that the necessary mitigation has been implemented or that the project proponent has entered into a legal agreement to implement it</w:t>
            </w:r>
            <w:r w:rsidRPr="007058AB">
              <w:rPr>
                <w:u w:val="single"/>
              </w:rPr>
              <w:t xml:space="preserve"> and that compensatory habitat will be preserved in perpetuity</w:t>
            </w:r>
            <w:r w:rsidRPr="007252C1">
              <w:t>.</w:t>
            </w:r>
          </w:p>
          <w:p w14:paraId="2509FD5C" w14:textId="77777777" w:rsidR="0029315E" w:rsidRPr="007252C1" w:rsidRDefault="0029315E" w:rsidP="00113354">
            <w:pPr>
              <w:pStyle w:val="TableTextL"/>
              <w:spacing w:after="40"/>
              <w:ind w:left="220" w:hanging="220"/>
            </w:pPr>
            <w:r w:rsidRPr="007252C1">
              <w:t xml:space="preserve">2. </w:t>
            </w:r>
            <w:r w:rsidRPr="007252C1">
              <w:tab/>
              <w:t>For restoring or enhancing habitat within the treatment area or outside of the treatment area, the Compensatory Mitigation Plan will include a description of the proposed habitat improvements, success criteria that demonstrate the performance standard of maintained habitat function has been met, legal and funding mechanisms, and parties responsible for long-term management and monitoring of the restored habitat.</w:t>
            </w:r>
          </w:p>
          <w:p w14:paraId="0B49793C" w14:textId="77777777" w:rsidR="0029315E" w:rsidRDefault="0029315E" w:rsidP="007252C1">
            <w:pPr>
              <w:pStyle w:val="TableTextL"/>
            </w:pPr>
            <w:r>
              <w:t>Review requirements are as follows:</w:t>
            </w:r>
          </w:p>
          <w:p w14:paraId="1CBCAFDE" w14:textId="77777777" w:rsidR="0029315E" w:rsidRPr="007058AB" w:rsidRDefault="0029315E" w:rsidP="007252C1">
            <w:pPr>
              <w:pStyle w:val="TableBullet1"/>
              <w:rPr>
                <w:rFonts w:eastAsia="Calibri" w:cs="Times New Roman"/>
                <w:u w:val="single"/>
              </w:rPr>
            </w:pPr>
            <w:r w:rsidRPr="007058AB">
              <w:rPr>
                <w:u w:val="single"/>
              </w:rPr>
              <w:t xml:space="preserve">The project proponent will consult with CDFW and/or any other applicable responsible agency prior to finalizing the Compensatory Mitigation Plan in order </w:t>
            </w:r>
            <w:r w:rsidRPr="007058AB">
              <w:rPr>
                <w:u w:val="single"/>
              </w:rPr>
              <w:lastRenderedPageBreak/>
              <w:t>to satisfy that responsible agency’s requirements (e.g., permits, approvals) within the plan.</w:t>
            </w:r>
          </w:p>
          <w:p w14:paraId="0DB38C8D" w14:textId="77777777" w:rsidR="0029315E" w:rsidRDefault="0029315E" w:rsidP="007252C1">
            <w:pPr>
              <w:pStyle w:val="TableBullet1"/>
              <w:rPr>
                <w:rFonts w:eastAsia="Calibri" w:cs="Times New Roman"/>
              </w:rPr>
            </w:pPr>
            <w:r>
              <w:rPr>
                <w:rFonts w:eastAsia="Calibri" w:cs="Times New Roman"/>
              </w:rPr>
              <w:t xml:space="preserve">For </w:t>
            </w:r>
            <w:r>
              <w:t>species listed under ESA or CESA or a California Fully Protected Species,</w:t>
            </w:r>
            <w:r w:rsidRPr="00923FDF">
              <w:rPr>
                <w:rFonts w:eastAsia="Calibri" w:cs="Times New Roman"/>
              </w:rPr>
              <w:t xml:space="preserve"> </w:t>
            </w:r>
            <w:r>
              <w:rPr>
                <w:rFonts w:eastAsia="Calibri" w:cs="Times New Roman"/>
              </w:rPr>
              <w:t>t</w:t>
            </w:r>
            <w:r w:rsidRPr="0069682C">
              <w:rPr>
                <w:rFonts w:eastAsia="Calibri" w:cs="Times New Roman"/>
              </w:rPr>
              <w:t>he project proponent will submit the mitigation plan to CDFW and/or USFWS</w:t>
            </w:r>
            <w:r w:rsidRPr="007058AB">
              <w:rPr>
                <w:rFonts w:eastAsia="Calibri" w:cs="Times New Roman"/>
                <w:u w:val="single"/>
              </w:rPr>
              <w:t>/NOAA Fisheries</w:t>
            </w:r>
            <w:r w:rsidRPr="0069682C">
              <w:rPr>
                <w:rFonts w:eastAsia="Calibri" w:cs="Times New Roman"/>
              </w:rPr>
              <w:t xml:space="preserve"> for </w:t>
            </w:r>
            <w:r>
              <w:rPr>
                <w:rFonts w:eastAsia="Calibri" w:cs="Times New Roman"/>
              </w:rPr>
              <w:t xml:space="preserve">review and </w:t>
            </w:r>
            <w:r w:rsidRPr="0069682C">
              <w:rPr>
                <w:rFonts w:eastAsia="Calibri" w:cs="Times New Roman"/>
              </w:rPr>
              <w:t>comment</w:t>
            </w:r>
            <w:r>
              <w:rPr>
                <w:rFonts w:eastAsia="Calibri" w:cs="Times New Roman"/>
              </w:rPr>
              <w:t>.</w:t>
            </w:r>
          </w:p>
          <w:p w14:paraId="3C23B9D7" w14:textId="77777777" w:rsidR="0029315E" w:rsidRPr="0044168D" w:rsidRDefault="0029315E" w:rsidP="007252C1">
            <w:pPr>
              <w:pStyle w:val="TableBullet1"/>
              <w:rPr>
                <w:rFonts w:eastAsia="Calibri" w:cs="Times New Roman"/>
              </w:rPr>
            </w:pPr>
            <w:r>
              <w:rPr>
                <w:rFonts w:eastAsia="Calibri" w:cs="Times New Roman"/>
              </w:rPr>
              <w:t xml:space="preserve">For other special-status wildlife species the project proponent may consult with CDFW and/or USFWS regarding the availability and applicability of compensatory mitigation and other related technical information. </w:t>
            </w:r>
          </w:p>
          <w:p w14:paraId="419D44EC" w14:textId="77777777" w:rsidR="0029315E" w:rsidRPr="0044168D" w:rsidRDefault="0029315E" w:rsidP="007252C1">
            <w:pPr>
              <w:pStyle w:val="TableTextL"/>
            </w:pPr>
            <w:r>
              <w:t xml:space="preserve">Compensatory mitigation may be satisfied through compliance with permit conditions, or other authorizations obtained by the project proponent (e.g., incidental take permit), if these requirements are equally or more effective than the mitigation identified above. </w:t>
            </w:r>
          </w:p>
          <w:bookmarkEnd w:id="68"/>
          <w:p w14:paraId="4969E714" w14:textId="77777777" w:rsidR="0029315E" w:rsidRPr="007252C1" w:rsidRDefault="0029315E" w:rsidP="007252C1">
            <w:pPr>
              <w:pStyle w:val="TableTextL"/>
              <w:rPr>
                <w:b/>
              </w:rPr>
            </w:pPr>
            <w:r w:rsidRPr="007252C1">
              <w:rPr>
                <w:b/>
              </w:rPr>
              <w:t xml:space="preserve">Mitigation Measure BIO-3a: Design Treatments to Avoid Loss of Sensitive Natural Communities and Oak Woodlands </w:t>
            </w:r>
          </w:p>
          <w:p w14:paraId="7ED2BFD5" w14:textId="77777777" w:rsidR="0029315E" w:rsidRDefault="0029315E" w:rsidP="007252C1">
            <w:pPr>
              <w:pStyle w:val="TableTextL"/>
              <w:rPr>
                <w:rFonts w:eastAsia="Calibri" w:cs="Times New Roman"/>
                <w:spacing w:val="-2"/>
              </w:rPr>
            </w:pPr>
            <w:r>
              <w:rPr>
                <w:rFonts w:eastAsia="Calibri" w:cs="Times New Roman"/>
                <w:spacing w:val="-2"/>
              </w:rPr>
              <w:t xml:space="preserve">The project proponent will implement the following measures when working in treatment areas that contain sensitive natural communities identified during surveys conducted pursuant to SPR BIO-3: </w:t>
            </w:r>
          </w:p>
          <w:p w14:paraId="761638D9" w14:textId="77777777" w:rsidR="0029315E" w:rsidRDefault="0029315E" w:rsidP="006F656C">
            <w:pPr>
              <w:pStyle w:val="TableBullet1"/>
            </w:pPr>
            <w:r>
              <w:t>R</w:t>
            </w:r>
            <w:r w:rsidRPr="00D54C82">
              <w:t xml:space="preserve">eference </w:t>
            </w:r>
            <w:bookmarkStart w:id="69" w:name="_Hlk19301838"/>
            <w:r w:rsidRPr="00D54C82">
              <w:t>the</w:t>
            </w:r>
            <w:r>
              <w:t xml:space="preserve"> </w:t>
            </w:r>
            <w:bookmarkStart w:id="70" w:name="_Hlk18697735"/>
            <w:r w:rsidRPr="00796731">
              <w:rPr>
                <w:i/>
              </w:rPr>
              <w:t>Manual of California Vegetation</w:t>
            </w:r>
            <w:r w:rsidRPr="00CD5FF7">
              <w:rPr>
                <w:iCs/>
              </w:rPr>
              <w:t>, Appendix 2, Table A2,</w:t>
            </w:r>
            <w:r>
              <w:rPr>
                <w:i/>
              </w:rPr>
              <w:t xml:space="preserve"> Fire Characteristics</w:t>
            </w:r>
            <w:r w:rsidRPr="00D54C82">
              <w:t xml:space="preserve"> </w:t>
            </w:r>
            <w:r>
              <w:t>(Sawyer et al. 2009</w:t>
            </w:r>
            <w:r w:rsidRPr="007058AB">
              <w:rPr>
                <w:u w:val="single"/>
              </w:rPr>
              <w:t xml:space="preserve"> or current version, including updated natural communities data at http://vegetation.cnps.org/</w:t>
            </w:r>
            <w:r>
              <w:t xml:space="preserve">) or other </w:t>
            </w:r>
            <w:r w:rsidRPr="00D54C82">
              <w:t xml:space="preserve">best available information to determine the natural fire </w:t>
            </w:r>
            <w:r>
              <w:t xml:space="preserve">regime </w:t>
            </w:r>
            <w:r w:rsidRPr="00D54C82">
              <w:t>of the specific sensitive natural community type (i.e., alliance)</w:t>
            </w:r>
            <w:r>
              <w:t xml:space="preserve"> present. </w:t>
            </w:r>
            <w:bookmarkEnd w:id="69"/>
            <w:bookmarkEnd w:id="70"/>
            <w:r>
              <w:t>T</w:t>
            </w:r>
            <w:r w:rsidRPr="00D54C82">
              <w:t xml:space="preserve">he condition class and fire return interval departure of the vegetation alliances present will </w:t>
            </w:r>
            <w:r>
              <w:t xml:space="preserve">also </w:t>
            </w:r>
            <w:r w:rsidRPr="00D54C82">
              <w:t>be determined</w:t>
            </w:r>
            <w:r>
              <w:t xml:space="preserve">. </w:t>
            </w:r>
          </w:p>
          <w:p w14:paraId="4D8FE161" w14:textId="77777777" w:rsidR="0029315E" w:rsidRPr="00A5249B" w:rsidRDefault="0029315E" w:rsidP="006F656C">
            <w:pPr>
              <w:pStyle w:val="TableBullet1"/>
              <w:rPr>
                <w:spacing w:val="-2"/>
              </w:rPr>
            </w:pPr>
            <w:r w:rsidRPr="00A5249B">
              <w:rPr>
                <w:spacing w:val="-2"/>
              </w:rPr>
              <w:t xml:space="preserve">Design treatments in sensitive natural communities and oak woodlands </w:t>
            </w:r>
            <w:bookmarkStart w:id="71" w:name="_Hlk19294540"/>
            <w:r w:rsidRPr="00A5249B">
              <w:rPr>
                <w:spacing w:val="-2"/>
              </w:rPr>
              <w:t>to restore the natural fire regime and return vegetation composition and structure to their natural condition to maintain or improve habitat function</w:t>
            </w:r>
            <w:bookmarkEnd w:id="71"/>
            <w:r w:rsidRPr="00A5249B">
              <w:rPr>
                <w:spacing w:val="-2"/>
              </w:rPr>
              <w:t xml:space="preserve"> of the affected sensitive natural community. Treatments </w:t>
            </w:r>
            <w:bookmarkStart w:id="72" w:name="_Hlk19301049"/>
            <w:r w:rsidRPr="00A5249B">
              <w:rPr>
                <w:spacing w:val="-2"/>
              </w:rPr>
              <w:t xml:space="preserve">will </w:t>
            </w:r>
            <w:bookmarkStart w:id="73" w:name="_Hlk18697842"/>
            <w:r w:rsidRPr="00A5249B">
              <w:rPr>
                <w:spacing w:val="-2"/>
              </w:rPr>
              <w:t xml:space="preserve">be designed to replicate the fire regime attributes for the affected sensitive natural community or oak woodland type including seasonality, fire return interval, fire size, spatial complexity, </w:t>
            </w:r>
            <w:proofErr w:type="spellStart"/>
            <w:r w:rsidRPr="00A5249B">
              <w:rPr>
                <w:spacing w:val="-2"/>
              </w:rPr>
              <w:t>fireline</w:t>
            </w:r>
            <w:proofErr w:type="spellEnd"/>
            <w:r w:rsidRPr="00A5249B">
              <w:rPr>
                <w:spacing w:val="-2"/>
              </w:rPr>
              <w:t xml:space="preserve"> intensity, severity, and fire type as described in </w:t>
            </w:r>
            <w:bookmarkStart w:id="74" w:name="_Hlk11043444"/>
            <w:r w:rsidRPr="00A5249B">
              <w:rPr>
                <w:i/>
                <w:spacing w:val="-2"/>
              </w:rPr>
              <w:t>Fire in California’s Ecosystems</w:t>
            </w:r>
            <w:r w:rsidRPr="00A5249B">
              <w:rPr>
                <w:spacing w:val="-2"/>
              </w:rPr>
              <w:t xml:space="preserve"> (Van </w:t>
            </w:r>
            <w:proofErr w:type="spellStart"/>
            <w:r w:rsidRPr="00A5249B">
              <w:rPr>
                <w:spacing w:val="-2"/>
              </w:rPr>
              <w:t>Wagtendonk</w:t>
            </w:r>
            <w:proofErr w:type="spellEnd"/>
            <w:r w:rsidRPr="00A5249B">
              <w:rPr>
                <w:spacing w:val="-2"/>
              </w:rPr>
              <w:t xml:space="preserve"> et al. 2018) </w:t>
            </w:r>
            <w:bookmarkEnd w:id="74"/>
            <w:r w:rsidRPr="00A5249B">
              <w:rPr>
                <w:spacing w:val="-2"/>
              </w:rPr>
              <w:t xml:space="preserve">and </w:t>
            </w:r>
            <w:bookmarkStart w:id="75" w:name="_Hlk19300948"/>
            <w:r w:rsidRPr="00A5249B">
              <w:rPr>
                <w:spacing w:val="-2"/>
              </w:rPr>
              <w:t xml:space="preserve">the </w:t>
            </w:r>
            <w:r w:rsidRPr="00A5249B">
              <w:rPr>
                <w:i/>
                <w:spacing w:val="-2"/>
              </w:rPr>
              <w:t>Manual of California Vegetation</w:t>
            </w:r>
            <w:r w:rsidRPr="00A5249B">
              <w:rPr>
                <w:spacing w:val="-2"/>
              </w:rPr>
              <w:t xml:space="preserve"> (Sawyer et al. 2009</w:t>
            </w:r>
            <w:r w:rsidRPr="007058AB">
              <w:rPr>
                <w:spacing w:val="-2"/>
                <w:u w:val="single"/>
              </w:rPr>
              <w:t xml:space="preserve"> </w:t>
            </w:r>
            <w:bookmarkEnd w:id="75"/>
            <w:r w:rsidRPr="007058AB">
              <w:rPr>
                <w:spacing w:val="-2"/>
                <w:u w:val="single"/>
              </w:rPr>
              <w:t>or current version</w:t>
            </w:r>
            <w:r w:rsidRPr="007058AB">
              <w:rPr>
                <w:u w:val="single"/>
              </w:rPr>
              <w:t>, including updated natural communities data at http://vegetation.cnps.org/</w:t>
            </w:r>
            <w:r w:rsidRPr="00A5249B">
              <w:rPr>
                <w:spacing w:val="-2"/>
              </w:rPr>
              <w:t>).</w:t>
            </w:r>
            <w:bookmarkEnd w:id="72"/>
            <w:r w:rsidRPr="00A5249B">
              <w:rPr>
                <w:spacing w:val="-2"/>
              </w:rPr>
              <w:t xml:space="preserve"> Treatments will not be implemented in sensitive </w:t>
            </w:r>
            <w:r w:rsidRPr="00A5249B">
              <w:rPr>
                <w:spacing w:val="-2"/>
              </w:rPr>
              <w:lastRenderedPageBreak/>
              <w:t xml:space="preserve">natural communities that are within their natural fire return interval (i.e., time since last burn is less than the average time required for that vegetation type to recover from fire) or within Condition Class 1. </w:t>
            </w:r>
            <w:bookmarkEnd w:id="73"/>
          </w:p>
          <w:p w14:paraId="23C62C84" w14:textId="77777777" w:rsidR="0029315E" w:rsidRDefault="0029315E" w:rsidP="006F656C">
            <w:pPr>
              <w:pStyle w:val="TableBullet1"/>
            </w:pPr>
            <w:r>
              <w:t xml:space="preserve">To the extent feasible, no fuel breaks will be created in sensitive natural communities with rarity ranks of S1 (critically imperiled) and S2 (imperiled). </w:t>
            </w:r>
          </w:p>
          <w:p w14:paraId="04A69B79" w14:textId="77777777" w:rsidR="0029315E" w:rsidRDefault="0029315E" w:rsidP="006F656C">
            <w:pPr>
              <w:pStyle w:val="TableBullet1"/>
            </w:pPr>
            <w:r>
              <w:t xml:space="preserve">To the extent feasible, fuel breaks will not remove more than 20 percent of the native vegetation </w:t>
            </w:r>
            <w:r w:rsidRPr="007058AB">
              <w:rPr>
                <w:u w:val="single"/>
              </w:rPr>
              <w:t xml:space="preserve">relative </w:t>
            </w:r>
            <w:r>
              <w:t xml:space="preserve">cover </w:t>
            </w:r>
            <w:bookmarkStart w:id="76" w:name="_Hlk19106063"/>
            <w:r>
              <w:t xml:space="preserve">from a stand of sensitive natural community vegetation in sensitive natural communities with a rarity rank of S3 (vulnerable) or in oak woodlands. </w:t>
            </w:r>
            <w:bookmarkEnd w:id="76"/>
            <w:r>
              <w:t>In forest and woodland sensitive natural communities with a rarity rank of S3, and in oak woodlands, only shaded fuel breaks will be installed, and they will not be installed in more than 20 percent of the stand of sensitive natural community or oak woodland vegetation (i.e., if the sensitive natural community covers 100 acres, no more than 20 acres will be converted to create the fuel break).</w:t>
            </w:r>
          </w:p>
          <w:p w14:paraId="06A72A6E" w14:textId="77777777" w:rsidR="0029315E" w:rsidRDefault="0029315E" w:rsidP="006F656C">
            <w:pPr>
              <w:pStyle w:val="TableBullet1"/>
            </w:pPr>
            <w:r>
              <w:t xml:space="preserve">Use prescribed burning as the primary treatment activity in sensitive natural communities that are fire dependent (e.g., closed-cone forest and woodland alliances, chaparral alliances characterized by fire-stimulated, obligate seeders), to the extent feasible and appropriate based on the fire regime attributes as described in </w:t>
            </w:r>
            <w:r w:rsidRPr="00801ED6">
              <w:rPr>
                <w:i/>
              </w:rPr>
              <w:t>Fire in California</w:t>
            </w:r>
            <w:r>
              <w:rPr>
                <w:i/>
              </w:rPr>
              <w:t>’</w:t>
            </w:r>
            <w:r w:rsidRPr="00801ED6">
              <w:rPr>
                <w:i/>
              </w:rPr>
              <w:t xml:space="preserve">s </w:t>
            </w:r>
            <w:r>
              <w:rPr>
                <w:i/>
              </w:rPr>
              <w:t xml:space="preserve">Ecosystems </w:t>
            </w:r>
            <w:r>
              <w:t xml:space="preserve">(Van </w:t>
            </w:r>
            <w:proofErr w:type="spellStart"/>
            <w:r>
              <w:t>Wagtendonk</w:t>
            </w:r>
            <w:proofErr w:type="spellEnd"/>
            <w:r>
              <w:t xml:space="preserve"> et al. 2018) and the </w:t>
            </w:r>
            <w:r w:rsidRPr="001447A7">
              <w:rPr>
                <w:i/>
              </w:rPr>
              <w:t>Manual of California Vegetation</w:t>
            </w:r>
            <w:r>
              <w:t xml:space="preserve"> (Sawyer et al. 2009</w:t>
            </w:r>
            <w:r w:rsidRPr="007058AB">
              <w:rPr>
                <w:u w:val="single"/>
              </w:rPr>
              <w:t xml:space="preserve"> or current version, including updated natural communities data at http://vegetation.cnps.org/</w:t>
            </w:r>
            <w:r>
              <w:t>).</w:t>
            </w:r>
          </w:p>
          <w:p w14:paraId="56137DA6" w14:textId="77777777" w:rsidR="0029315E" w:rsidRPr="007058AB" w:rsidRDefault="0029315E" w:rsidP="006F656C">
            <w:pPr>
              <w:pStyle w:val="TableBullet1"/>
              <w:rPr>
                <w:u w:val="single"/>
              </w:rPr>
            </w:pPr>
            <w:r>
              <w:rPr>
                <w:rFonts w:eastAsia="Calibri" w:cs="Times New Roman"/>
              </w:rPr>
              <w:t>Time p</w:t>
            </w:r>
            <w:r w:rsidRPr="00C14E3A">
              <w:rPr>
                <w:rFonts w:eastAsia="Calibri" w:cs="Times New Roman"/>
              </w:rPr>
              <w:t xml:space="preserve">rescribed herbivory to occur when </w:t>
            </w:r>
            <w:r>
              <w:rPr>
                <w:rFonts w:eastAsia="Calibri" w:cs="Times New Roman"/>
              </w:rPr>
              <w:t xml:space="preserve">non-target vegetation is not susceptible to damage (e.g. non-target vegetation is dormant or has completed its reproductive cycle for the year). For example, use herbivores </w:t>
            </w:r>
            <w:r w:rsidRPr="00C14E3A">
              <w:rPr>
                <w:rFonts w:eastAsia="Calibri" w:cs="Times New Roman"/>
              </w:rPr>
              <w:t xml:space="preserve">to control invasive plants growing in </w:t>
            </w:r>
            <w:r>
              <w:rPr>
                <w:rFonts w:eastAsia="Calibri" w:cs="Times New Roman"/>
              </w:rPr>
              <w:t>sensitive habitats or sensitive natural communities</w:t>
            </w:r>
            <w:r w:rsidRPr="00C14E3A">
              <w:rPr>
                <w:rFonts w:eastAsia="Calibri" w:cs="Times New Roman"/>
              </w:rPr>
              <w:t xml:space="preserve"> </w:t>
            </w:r>
            <w:r>
              <w:rPr>
                <w:rFonts w:eastAsia="Calibri" w:cs="Times New Roman"/>
              </w:rPr>
              <w:t>when sensitive vegetation is dormant but invasive plants are growing</w:t>
            </w:r>
            <w:r w:rsidRPr="00C14E3A">
              <w:rPr>
                <w:rFonts w:eastAsia="Calibri" w:cs="Times New Roman"/>
              </w:rPr>
              <w:t>.</w:t>
            </w:r>
            <w:r>
              <w:rPr>
                <w:rFonts w:eastAsia="Calibri" w:cs="Times New Roman"/>
              </w:rPr>
              <w:t xml:space="preserve"> Timing of herbivory to avoid non-target vegetation will be determined by a qualified botanist, RPF, or biologist based on the specific vegetation alliance being treated, the life forms and life conditions of its characteristic plant species, and the sensitivity of the non-target vegetation to the effects of herbivory.</w:t>
            </w:r>
          </w:p>
          <w:p w14:paraId="44C83247" w14:textId="46A9433A" w:rsidR="0029315E" w:rsidRPr="006F656C" w:rsidRDefault="0029315E" w:rsidP="006F656C">
            <w:pPr>
              <w:pStyle w:val="TableTextL"/>
            </w:pPr>
            <w:r w:rsidRPr="007058AB">
              <w:rPr>
                <w:u w:val="single"/>
              </w:rPr>
              <w:t xml:space="preserve">The feasibility of implementing the avoidance measures will be determined by the project proponent based on whether implementation of this mitigation measure will preclude completing the treatment project within the reasonable period of time </w:t>
            </w:r>
            <w:r w:rsidRPr="007058AB">
              <w:rPr>
                <w:u w:val="single"/>
              </w:rPr>
              <w:lastRenderedPageBreak/>
              <w:t>necessary to meet CalVTP program objectives, including, but not limited to, protection of vulnerable communities</w:t>
            </w:r>
            <w:bookmarkStart w:id="77" w:name="_Hlk20730185"/>
            <w:r w:rsidRPr="007058AB">
              <w:rPr>
                <w:u w:val="single"/>
              </w:rPr>
              <w:t>. If the avoidance measures are determined by the project proponent to be infeasible, the project proponent will document the reasons implementation of the avoidance strategies are infeasible in the PSA. After completion of the PSA and prior to or during treatment implementation, if there is any change in the feasibility of avoidance strategies from those explained in the PSA, this will be documented in the post-project implementation report (referred to by CAL FIRE as a Completion Report).</w:t>
            </w:r>
            <w:bookmarkEnd w:id="77"/>
          </w:p>
          <w:p w14:paraId="4F3DB9FD" w14:textId="77777777" w:rsidR="0029315E" w:rsidRPr="000B3452" w:rsidRDefault="0029315E" w:rsidP="006F656C">
            <w:pPr>
              <w:pStyle w:val="TableTextL"/>
            </w:pPr>
            <w:r w:rsidRPr="006F656C">
              <w:t xml:space="preserve">A qualified RPF or botanist with knowledge </w:t>
            </w:r>
            <w:bookmarkStart w:id="78" w:name="_Hlk19274785"/>
            <w:r w:rsidRPr="006F656C">
              <w:t>of the affected sensitive natural community</w:t>
            </w:r>
            <w:bookmarkEnd w:id="78"/>
            <w:r w:rsidRPr="006F656C">
              <w:t xml:space="preserve">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habitat functions of the sensitive natural community or oak woodland. If the project proponent determines the impact on sensitive natural communities or oak woodlands would be less than significant, no further mitigation will be required. If the project proponent determines that the loss or degradation of sensitive natural communities or oak woodlands would be significant under CEQA after implementing feasible treatment design alternatives and impact minimization measures, then Mitigation Measure BIO-3b will be implemented.</w:t>
            </w:r>
            <w:r w:rsidRPr="000B3452">
              <w:t xml:space="preserve"> </w:t>
            </w:r>
          </w:p>
          <w:p w14:paraId="0E1503D8" w14:textId="77777777" w:rsidR="0029315E" w:rsidRPr="006F656C" w:rsidRDefault="0029315E" w:rsidP="006F656C">
            <w:pPr>
              <w:pStyle w:val="TableTextL"/>
            </w:pPr>
            <w:r w:rsidRPr="006F656C">
              <w:t xml:space="preserve">The only exception to this mitigation approach is in cases where it is determined by a qualified RPF or botanist that the sensitive natural community or oak woodland would benefit from treatment in the occupied habitat area even though some loss may occur during treatment activities. </w:t>
            </w:r>
            <w:r w:rsidRPr="007058AB">
              <w:rPr>
                <w:rFonts w:eastAsia="Calibri" w:cs="Times New Roman"/>
                <w:u w:val="single"/>
              </w:rPr>
              <w:t>For a treatment to be considered beneficial to a sensitive natural community or oak woodland, the qualified RPF or botanist will demonstrate with substantial evidence that habitat function is reasonably expected to improve with implementation of the treatment (e.g., by citing scientific studies demonstrating that the community (or similar community) has benefitted from increased sunlight due to canopy opening, eradication of invasive species, or otherwise reduced competition for resources), and the substantial evidence will be included</w:t>
            </w:r>
            <w:r w:rsidRPr="007058AB">
              <w:rPr>
                <w:u w:val="single"/>
              </w:rPr>
              <w:t xml:space="preserve"> in the PSA</w:t>
            </w:r>
            <w:r w:rsidRPr="007058AB">
              <w:rPr>
                <w:rFonts w:eastAsia="Calibri" w:cs="Times New Roman"/>
                <w:u w:val="single"/>
              </w:rPr>
              <w:t xml:space="preserve">. </w:t>
            </w:r>
            <w:r w:rsidRPr="006F656C">
              <w:t xml:space="preserve">If it is determined that treatment activities would be beneficial to sensitive natural communities or oak woodlands, no compensatory mitigation will be required. </w:t>
            </w:r>
          </w:p>
          <w:p w14:paraId="57411C48" w14:textId="77777777" w:rsidR="0029315E" w:rsidRPr="006F656C" w:rsidRDefault="0029315E" w:rsidP="006F656C">
            <w:pPr>
              <w:pStyle w:val="TableTextL"/>
              <w:rPr>
                <w:rFonts w:cs="Times New Roman"/>
                <w:b/>
                <w:spacing w:val="-2"/>
              </w:rPr>
            </w:pPr>
            <w:r w:rsidRPr="006F656C">
              <w:rPr>
                <w:b/>
              </w:rPr>
              <w:lastRenderedPageBreak/>
              <w:t>Mitigation Measure BIO-3b: Compensate for Loss of Sensitive Natural Communities and Oak Woodlands</w:t>
            </w:r>
          </w:p>
          <w:p w14:paraId="77E6D370" w14:textId="77777777" w:rsidR="0029315E" w:rsidRDefault="0029315E" w:rsidP="006F656C">
            <w:pPr>
              <w:pStyle w:val="TableTextL"/>
              <w:rPr>
                <w:rFonts w:eastAsia="Calibri" w:cs="Times New Roman"/>
                <w:spacing w:val="-2"/>
              </w:rPr>
            </w:pPr>
            <w:r w:rsidRPr="006F656C">
              <w:t xml:space="preserve">If significant impacts on sensitive natural communities or oak woodlands cannot feasibly be avoided or reduced as specified under Mitigation Measure BIO-3a, </w:t>
            </w:r>
            <w:r w:rsidRPr="006F656C">
              <w:rPr>
                <w:rFonts w:eastAsia="Calibri" w:cs="Times New Roman"/>
                <w:spacing w:val="-2"/>
              </w:rPr>
              <w:t>the project proponent will implement the following actions:</w:t>
            </w:r>
          </w:p>
          <w:p w14:paraId="6D4A755B" w14:textId="77777777" w:rsidR="0029315E" w:rsidRDefault="0029315E" w:rsidP="006F656C">
            <w:pPr>
              <w:pStyle w:val="TableBullet1"/>
            </w:pPr>
            <w:r>
              <w:t xml:space="preserve">Compensate for </w:t>
            </w:r>
            <w:bookmarkStart w:id="79" w:name="_Hlk19291408"/>
            <w:r>
              <w:t xml:space="preserve">unavoidable losses of sensitive natural community and </w:t>
            </w:r>
            <w:bookmarkStart w:id="80" w:name="_Hlk19294742"/>
            <w:r>
              <w:t xml:space="preserve">oak woodland acreage and function </w:t>
            </w:r>
            <w:bookmarkEnd w:id="79"/>
            <w:bookmarkEnd w:id="80"/>
            <w:r>
              <w:t xml:space="preserve">by: </w:t>
            </w:r>
          </w:p>
          <w:p w14:paraId="5C85260F" w14:textId="77777777" w:rsidR="0029315E" w:rsidRDefault="0029315E" w:rsidP="006F656C">
            <w:pPr>
              <w:pStyle w:val="TableBullet2"/>
            </w:pPr>
            <w:r>
              <w:t>restoring sensitive natural community or oak woodland functions and acreage within the treatment area;</w:t>
            </w:r>
          </w:p>
          <w:p w14:paraId="7B11ECFB" w14:textId="77777777" w:rsidR="0029315E" w:rsidRDefault="0029315E" w:rsidP="006F656C">
            <w:pPr>
              <w:pStyle w:val="TableBullet2"/>
            </w:pPr>
            <w:r>
              <w:t>restoring degraded sensitive natural communities or oak woodlands outside of the treatment area at a sufficient ratio to offset the loss of acreage and habitat function; or</w:t>
            </w:r>
          </w:p>
          <w:p w14:paraId="79BD49B9" w14:textId="77777777" w:rsidR="0029315E" w:rsidRDefault="0029315E" w:rsidP="006F656C">
            <w:pPr>
              <w:pStyle w:val="TableBullet2"/>
            </w:pPr>
            <w:r>
              <w:t>preserving existing sensitive natural communities or oak woodlands of equal or better value to the sensitive natural community lost through a conservation easement at a sufficient ratio to offset the loss of acreage and habitat function.</w:t>
            </w:r>
          </w:p>
          <w:p w14:paraId="6DC237D0" w14:textId="77777777" w:rsidR="0029315E" w:rsidRPr="00C15B89" w:rsidRDefault="0029315E" w:rsidP="006F656C">
            <w:pPr>
              <w:pStyle w:val="TableBullet1"/>
            </w:pPr>
            <w:r>
              <w:t xml:space="preserve">The project proponent will </w:t>
            </w:r>
            <w:r w:rsidRPr="00F90375">
              <w:t xml:space="preserve">prepare a </w:t>
            </w:r>
            <w:bookmarkStart w:id="81" w:name="_Hlk19295410"/>
            <w:r w:rsidRPr="00F90375">
              <w:t>Compensat</w:t>
            </w:r>
            <w:r>
              <w:t xml:space="preserve">ory Mitigation Plan that identifies </w:t>
            </w:r>
            <w:r w:rsidRPr="00C15B89">
              <w:t>the residual significant effects</w:t>
            </w:r>
            <w:r>
              <w:t xml:space="preserve"> on sensitive natural communities or oak woodlands</w:t>
            </w:r>
            <w:r w:rsidRPr="00C15B89">
              <w:t xml:space="preserve"> that require compensatory mitigation and describes the compensatory mitigation strategy being implemented to reduce residual effects</w:t>
            </w:r>
            <w:bookmarkEnd w:id="81"/>
            <w:r w:rsidRPr="00C15B89">
              <w:t>, and:</w:t>
            </w:r>
          </w:p>
          <w:p w14:paraId="4EE41F45" w14:textId="77777777" w:rsidR="0029315E" w:rsidRPr="006F656C" w:rsidRDefault="0029315E" w:rsidP="00113354">
            <w:pPr>
              <w:pStyle w:val="TableTextL"/>
              <w:spacing w:after="40"/>
              <w:ind w:left="220" w:hanging="220"/>
            </w:pPr>
            <w:r w:rsidRPr="00C15B89">
              <w:t>1.</w:t>
            </w:r>
            <w:r>
              <w:tab/>
            </w:r>
            <w:r w:rsidRPr="006F656C">
              <w:t>For preserving existing habitat outside of the treatment area in perpetuity, the Compensatory Mitigation Plan will include a summary of the proposed compensation lands (e.g., the number and type of credits, location of mitigation bank or easement), parties responsible for the long-term management of the land, and the legal and funding mechanism for long-term conservation (e.g., holder of conservation easement or fee title). The project proponent will submit evidence that the necessary mitigation has been implemented or that the project proponent has entered into a legal agreement to implement it</w:t>
            </w:r>
            <w:r w:rsidRPr="007058AB">
              <w:rPr>
                <w:u w:val="single"/>
              </w:rPr>
              <w:t xml:space="preserve"> and that compensatory habitat will be preserved in perpetuity</w:t>
            </w:r>
            <w:r w:rsidRPr="006F656C">
              <w:t>.</w:t>
            </w:r>
          </w:p>
          <w:p w14:paraId="20908BE2" w14:textId="6684F517" w:rsidR="0029315E" w:rsidRPr="006F656C" w:rsidRDefault="0029315E" w:rsidP="00113354">
            <w:pPr>
              <w:pStyle w:val="TableTextL"/>
              <w:spacing w:after="40"/>
              <w:ind w:left="220" w:hanging="220"/>
            </w:pPr>
            <w:r w:rsidRPr="006F656C">
              <w:t>2.</w:t>
            </w:r>
            <w:r w:rsidRPr="006F656C">
              <w:tab/>
              <w:t xml:space="preserve">For restoring or enhancing habitat within the treatment area or outside of the treatment area, </w:t>
            </w:r>
            <w:bookmarkStart w:id="82" w:name="_Hlk18690321"/>
            <w:r w:rsidRPr="006F656C">
              <w:t xml:space="preserve">the Compensatory Mitigation Plan will include a description of the proposed habitat improvements, success criteria that demonstrate the </w:t>
            </w:r>
            <w:r w:rsidRPr="006F656C">
              <w:lastRenderedPageBreak/>
              <w:t xml:space="preserve">performance standard of maintained habitat function has been met, legal and funding mechanisms, and parties responsible for long-term management and monitoring of the restored </w:t>
            </w:r>
            <w:r w:rsidRPr="007058AB">
              <w:rPr>
                <w:u w:val="single"/>
              </w:rPr>
              <w:t xml:space="preserve">or enhanced </w:t>
            </w:r>
            <w:r w:rsidRPr="006F656C">
              <w:t>habitat</w:t>
            </w:r>
            <w:bookmarkEnd w:id="82"/>
            <w:r w:rsidRPr="006F656C">
              <w:t>.</w:t>
            </w:r>
          </w:p>
          <w:p w14:paraId="64533391" w14:textId="77777777" w:rsidR="0029315E" w:rsidRPr="007058AB" w:rsidRDefault="0029315E" w:rsidP="006F656C">
            <w:pPr>
              <w:pStyle w:val="TableTextL"/>
              <w:rPr>
                <w:u w:val="single"/>
              </w:rPr>
            </w:pPr>
            <w:r w:rsidRPr="007058AB">
              <w:rPr>
                <w:u w:val="single"/>
              </w:rPr>
              <w:t xml:space="preserve">The project proponent will consult with </w:t>
            </w:r>
            <w:bookmarkStart w:id="83" w:name="_Hlk19274513"/>
            <w:r w:rsidRPr="007058AB">
              <w:rPr>
                <w:u w:val="single"/>
              </w:rPr>
              <w:t>CDFW and/or any other applicable responsible agency prior to finalizing the</w:t>
            </w:r>
            <w:bookmarkEnd w:id="83"/>
            <w:r w:rsidRPr="007058AB">
              <w:rPr>
                <w:u w:val="single"/>
              </w:rPr>
              <w:t xml:space="preserve"> Compensatory Mitigation Plan in order to satisfy that responsible agency’s requirements (e.g., permits, approvals) within the plan.</w:t>
            </w:r>
          </w:p>
          <w:p w14:paraId="66EE330A" w14:textId="77777777" w:rsidR="0029315E" w:rsidRPr="006F656C" w:rsidRDefault="0029315E" w:rsidP="006F656C">
            <w:pPr>
              <w:pStyle w:val="TableTextL"/>
              <w:rPr>
                <w:b/>
              </w:rPr>
            </w:pPr>
            <w:r w:rsidRPr="006F656C">
              <w:rPr>
                <w:b/>
              </w:rPr>
              <w:t>Mitigation Measure BIO-3c: Compensate for Unavoidable Loss of Riparian Habitat</w:t>
            </w:r>
          </w:p>
          <w:p w14:paraId="5B290004" w14:textId="77777777" w:rsidR="0029315E" w:rsidRDefault="0029315E" w:rsidP="006F656C">
            <w:pPr>
              <w:pStyle w:val="TableTextL"/>
            </w:pPr>
            <w:bookmarkStart w:id="84" w:name="_Hlk10781027"/>
            <w:r>
              <w:t>If, after implementation of SPR BIO-4, impacts to riparian habitat remain significant under CEQA, the project proponent will implement the following:</w:t>
            </w:r>
          </w:p>
          <w:bookmarkEnd w:id="84"/>
          <w:p w14:paraId="4EF27D2F" w14:textId="77777777" w:rsidR="0029315E" w:rsidRDefault="0029315E" w:rsidP="006F656C">
            <w:pPr>
              <w:pStyle w:val="TableBullet1"/>
            </w:pPr>
            <w:r>
              <w:t xml:space="preserve">Compensate for unavoidable losses of riparian habitat acreage and function by: </w:t>
            </w:r>
          </w:p>
          <w:p w14:paraId="47B944D9" w14:textId="77777777" w:rsidR="0029315E" w:rsidRPr="007C0890" w:rsidRDefault="0029315E" w:rsidP="006F656C">
            <w:pPr>
              <w:pStyle w:val="TableBullet2"/>
            </w:pPr>
            <w:r w:rsidRPr="007C0890">
              <w:t xml:space="preserve">restoring riparian habitat </w:t>
            </w:r>
            <w:r>
              <w:t>functions</w:t>
            </w:r>
            <w:r w:rsidRPr="007C0890">
              <w:t xml:space="preserve"> and acreage within the treatment area;</w:t>
            </w:r>
          </w:p>
          <w:p w14:paraId="29930B54" w14:textId="77777777" w:rsidR="0029315E" w:rsidRPr="007C0890" w:rsidRDefault="0029315E" w:rsidP="006F656C">
            <w:pPr>
              <w:pStyle w:val="TableBullet2"/>
            </w:pPr>
            <w:r w:rsidRPr="007C0890">
              <w:t>restoring degraded riparian habitat outside of the treatment area;</w:t>
            </w:r>
          </w:p>
          <w:p w14:paraId="09266ED5" w14:textId="77777777" w:rsidR="0029315E" w:rsidRPr="007C0890" w:rsidRDefault="0029315E" w:rsidP="006F656C">
            <w:pPr>
              <w:pStyle w:val="TableBullet2"/>
            </w:pPr>
            <w:r w:rsidRPr="007C0890">
              <w:t>purchasing riparian habitat credits at a CDFW-approved mitigation bank; or</w:t>
            </w:r>
          </w:p>
          <w:p w14:paraId="2276A8A3" w14:textId="77777777" w:rsidR="0029315E" w:rsidRDefault="0029315E" w:rsidP="006F656C">
            <w:pPr>
              <w:pStyle w:val="TableBullet2"/>
            </w:pPr>
            <w:r w:rsidRPr="007C0890">
              <w:t>preserving</w:t>
            </w:r>
            <w:r>
              <w:t xml:space="preserve"> existing riparian habitat of equal or better value to the riparian habitat lost through a conservation easement at a sufficient ratio to offset the loss of riparian habitat function and value.</w:t>
            </w:r>
          </w:p>
          <w:p w14:paraId="3D304517" w14:textId="77777777" w:rsidR="0029315E" w:rsidRDefault="0029315E" w:rsidP="006F656C">
            <w:pPr>
              <w:pStyle w:val="TableBullet1"/>
            </w:pPr>
            <w:r>
              <w:t>The project proponent will prepare a</w:t>
            </w:r>
            <w:r w:rsidRPr="003039CD">
              <w:t xml:space="preserve"> </w:t>
            </w:r>
            <w:r>
              <w:t>Compensatory M</w:t>
            </w:r>
            <w:r w:rsidRPr="003039CD">
              <w:t xml:space="preserve">itigation </w:t>
            </w:r>
            <w:r>
              <w:t>P</w:t>
            </w:r>
            <w:r w:rsidRPr="003039CD">
              <w:t xml:space="preserve">lan </w:t>
            </w:r>
            <w:r>
              <w:t xml:space="preserve">that identifies </w:t>
            </w:r>
            <w:r w:rsidRPr="00C15B89">
              <w:t>the residual significant effects</w:t>
            </w:r>
            <w:r>
              <w:t xml:space="preserve"> on riparian habitat</w:t>
            </w:r>
            <w:r w:rsidRPr="00C15B89">
              <w:t xml:space="preserve"> that require compensatory mitigation </w:t>
            </w:r>
            <w:r>
              <w:t>and describes the compensatory mitigation strategy being implemented to reduce residual effects, and:</w:t>
            </w:r>
          </w:p>
          <w:p w14:paraId="7FD74EF4" w14:textId="77777777" w:rsidR="0029315E" w:rsidRPr="006F656C" w:rsidRDefault="0029315E" w:rsidP="00183DE0">
            <w:pPr>
              <w:pStyle w:val="TableTextL"/>
              <w:spacing w:after="40"/>
              <w:ind w:left="220" w:hanging="220"/>
            </w:pPr>
            <w:r>
              <w:t xml:space="preserve">1. </w:t>
            </w:r>
            <w:r>
              <w:tab/>
            </w:r>
            <w:r w:rsidRPr="006F656C">
              <w:t>For preserving existing riparian habitat outside of the treatment area in perpetuity, the Compensatory Mitigation Plan will include a summary of the proposed compensation lands (e.g., the number and type of credits, location of mitigation bank or easement), parties responsible for the long-term management of the land, and the legal and funding mechanism for long-term conservation (e.g., holder of conservation easement or fee title). The project proponent will submit evidence that the necessary mitigation has been implemented or that the project proponent has entered into a legal agreement to implement it</w:t>
            </w:r>
            <w:r w:rsidRPr="007058AB">
              <w:rPr>
                <w:u w:val="single"/>
              </w:rPr>
              <w:t xml:space="preserve"> and that compensatory plant populations will be preserved in perpetuity</w:t>
            </w:r>
            <w:r w:rsidRPr="006F656C">
              <w:t>.</w:t>
            </w:r>
          </w:p>
          <w:p w14:paraId="01FCF169" w14:textId="77777777" w:rsidR="0029315E" w:rsidRPr="006F656C" w:rsidRDefault="0029315E" w:rsidP="00183DE0">
            <w:pPr>
              <w:pStyle w:val="TableTextL"/>
              <w:spacing w:after="40"/>
              <w:ind w:left="220" w:hanging="220"/>
            </w:pPr>
            <w:r w:rsidRPr="006F656C">
              <w:t xml:space="preserve">2. </w:t>
            </w:r>
            <w:r w:rsidRPr="006F656C">
              <w:tab/>
              <w:t xml:space="preserve">For restoring or enhancing riparian habitat within the treatment area or outside of the treatment area, the Compensatory Mitigation Plan will include a </w:t>
            </w:r>
            <w:r w:rsidRPr="006F656C">
              <w:lastRenderedPageBreak/>
              <w:t>description of the proposed habitat improvements, success criteria that demonstrate the performance standard of maintained habitat function has been met, legal and funding mechanisms, and parties responsible for long-term management and monitoring of the restored</w:t>
            </w:r>
            <w:r w:rsidRPr="007058AB">
              <w:rPr>
                <w:u w:val="single"/>
              </w:rPr>
              <w:t xml:space="preserve"> or enhanced</w:t>
            </w:r>
            <w:r w:rsidRPr="006F656C">
              <w:t xml:space="preserve"> habitat.</w:t>
            </w:r>
          </w:p>
          <w:p w14:paraId="2AC9FCBB" w14:textId="00AFEFDC" w:rsidR="0090779A" w:rsidRPr="00D8104D" w:rsidRDefault="0029315E" w:rsidP="0029315E">
            <w:pPr>
              <w:pStyle w:val="TableTextL"/>
            </w:pPr>
            <w:bookmarkStart w:id="85" w:name="_Hlk18413423"/>
            <w:r w:rsidRPr="007058AB">
              <w:rPr>
                <w:u w:val="single"/>
              </w:rPr>
              <w:t>The project proponent will consult with CDFW and/or any other applicable responsible agency prior to finalizing the Compensatory Mitigation Plan to satisfy that responsible agency’s requirements (e.g., permits, approvals) within the plan.</w:t>
            </w:r>
            <w:bookmarkEnd w:id="85"/>
            <w:r w:rsidR="007058AB">
              <w:t xml:space="preserve"> </w:t>
            </w:r>
            <w:r>
              <w:t>Compensatory mitigation may be satisfied through compliance with permit conditions, or other authorizations obtained by the project proponent (e.g., Lake and Streambed Alteration Agreement), if these requirements are equally or more effective than the mitigation identified above.</w:t>
            </w:r>
          </w:p>
        </w:tc>
        <w:tc>
          <w:tcPr>
            <w:tcW w:w="938" w:type="dxa"/>
          </w:tcPr>
          <w:p w14:paraId="21F166FB" w14:textId="1FDC4E82" w:rsidR="0090779A" w:rsidRPr="005B3573" w:rsidRDefault="006D605B" w:rsidP="0090779A">
            <w:pPr>
              <w:pStyle w:val="TableTextL"/>
              <w:jc w:val="center"/>
            </w:pPr>
            <w:r>
              <w:lastRenderedPageBreak/>
              <w:t>LTS</w:t>
            </w:r>
            <w:r w:rsidR="009B3F06">
              <w:t>M</w:t>
            </w:r>
          </w:p>
        </w:tc>
      </w:tr>
      <w:tr w:rsidR="0090779A" w:rsidRPr="005B3573" w14:paraId="24A564B3" w14:textId="77777777" w:rsidTr="003060D2">
        <w:trPr>
          <w:jc w:val="center"/>
        </w:trPr>
        <w:tc>
          <w:tcPr>
            <w:tcW w:w="5856" w:type="dxa"/>
          </w:tcPr>
          <w:p w14:paraId="6E12E054" w14:textId="51963B08" w:rsidR="0090779A" w:rsidRPr="000073D0" w:rsidRDefault="000073D0" w:rsidP="0090779A">
            <w:pPr>
              <w:pStyle w:val="TableTextL"/>
              <w:rPr>
                <w:b/>
                <w:bCs/>
              </w:rPr>
            </w:pPr>
            <w:r w:rsidRPr="000073D0">
              <w:rPr>
                <w:b/>
                <w:bCs/>
              </w:rPr>
              <w:lastRenderedPageBreak/>
              <w:t>Shrub-Nesting Wildlife</w:t>
            </w:r>
          </w:p>
        </w:tc>
        <w:tc>
          <w:tcPr>
            <w:tcW w:w="993" w:type="dxa"/>
          </w:tcPr>
          <w:p w14:paraId="6534F97D" w14:textId="01EE274E" w:rsidR="0090779A" w:rsidRPr="005B3573" w:rsidRDefault="000073D0" w:rsidP="0090779A">
            <w:pPr>
              <w:pStyle w:val="TableTextL"/>
              <w:jc w:val="center"/>
            </w:pPr>
            <w:r>
              <w:t>PS</w:t>
            </w:r>
          </w:p>
        </w:tc>
        <w:tc>
          <w:tcPr>
            <w:tcW w:w="5893" w:type="dxa"/>
          </w:tcPr>
          <w:p w14:paraId="19086530" w14:textId="77777777" w:rsidR="000073D0" w:rsidRPr="000073D0" w:rsidRDefault="000073D0" w:rsidP="000073D0">
            <w:pPr>
              <w:pStyle w:val="TableTextL"/>
              <w:spacing w:after="60"/>
              <w:rPr>
                <w:b/>
                <w:bCs/>
              </w:rPr>
            </w:pPr>
            <w:r w:rsidRPr="000073D0">
              <w:rPr>
                <w:b/>
                <w:bCs/>
              </w:rPr>
              <w:t>Mitigation Measure BIO-2a: Avoid Mortality, Injury, or Disturbance and Maintain Habitat Function for Listed Wildlife Species and California Fully Protected Species (All Treatment Activities)</w:t>
            </w:r>
          </w:p>
          <w:p w14:paraId="721E96CF" w14:textId="77777777" w:rsidR="000073D0" w:rsidRPr="000073D0" w:rsidRDefault="000073D0" w:rsidP="000073D0">
            <w:pPr>
              <w:pStyle w:val="TableTextL"/>
              <w:spacing w:after="60"/>
              <w:rPr>
                <w:b/>
                <w:bCs/>
              </w:rPr>
            </w:pPr>
            <w:r w:rsidRPr="000073D0">
              <w:rPr>
                <w:b/>
                <w:bCs/>
              </w:rPr>
              <w:t>Mitigation Measure BIO-2b: Avoid Mortality, Injury, or Disturbance and Maintain Habitat Function for Other Special-Status Wildlife Species (All Treatment Activities)</w:t>
            </w:r>
          </w:p>
          <w:p w14:paraId="1A8C8221" w14:textId="77777777" w:rsidR="000073D0" w:rsidRPr="000073D0" w:rsidRDefault="000073D0" w:rsidP="000073D0">
            <w:pPr>
              <w:pStyle w:val="TableTextL"/>
              <w:spacing w:after="60"/>
              <w:rPr>
                <w:b/>
                <w:bCs/>
              </w:rPr>
            </w:pPr>
            <w:r w:rsidRPr="000073D0">
              <w:rPr>
                <w:b/>
                <w:bCs/>
              </w:rPr>
              <w:t>Mitigation Measure BIO-2c: Compensate for Mortality, Injury, or Disturbance and Loss of Habitat Function for Special-Status Wildlife if Applicable (All Treatment Activities)</w:t>
            </w:r>
          </w:p>
          <w:p w14:paraId="1B68FA71" w14:textId="77777777" w:rsidR="000073D0" w:rsidRPr="000073D0" w:rsidRDefault="000073D0" w:rsidP="000073D0">
            <w:pPr>
              <w:pStyle w:val="TableTextL"/>
              <w:rPr>
                <w:b/>
                <w:bCs/>
              </w:rPr>
            </w:pPr>
            <w:r w:rsidRPr="000073D0">
              <w:rPr>
                <w:b/>
                <w:bCs/>
              </w:rPr>
              <w:t>Mitigation Measure BIO-2d: Implement Protective Measures for Valley Elderberry Longhorn Beetle (All Treatment Activities)</w:t>
            </w:r>
          </w:p>
          <w:p w14:paraId="255C7B59" w14:textId="7633CC03" w:rsidR="000073D0" w:rsidRDefault="00985A54" w:rsidP="000073D0">
            <w:pPr>
              <w:pStyle w:val="TableTextL"/>
              <w:spacing w:after="60"/>
            </w:pPr>
            <w:r w:rsidRPr="00985A54">
              <w:t xml:space="preserve">If elderberry shrubs within the documented range of valley elderberry longhorn beetle are identified during review and surveys for SPR BIO-1, and valley elderberry longhorn beetle or likely occupied suitable elderberry habitat (e.g., within riparian, within historic riparian, containing exit holes) is confirmed to be present during protocol-level surveys following the protocol outlined in USFWS </w:t>
            </w:r>
            <w:r w:rsidRPr="00985A54">
              <w:rPr>
                <w:i/>
                <w:iCs/>
              </w:rPr>
              <w:t>Framework for Assessing Impacts to the Valley Elderberry Longhorn Beetle</w:t>
            </w:r>
            <w:r w:rsidRPr="00985A54">
              <w:t xml:space="preserve"> (USFWS 2017) per SPR BIO-10, the following protective measures will be implemented to avoid and minimize impacts to valley elderberry longhorn beetle:</w:t>
            </w:r>
          </w:p>
          <w:p w14:paraId="3E9D6D44" w14:textId="77777777" w:rsidR="00985A54" w:rsidRDefault="00985A54" w:rsidP="00985A54">
            <w:pPr>
              <w:pStyle w:val="TableBullet1"/>
            </w:pPr>
            <w:r>
              <w:t xml:space="preserve">If elderberry shrubs are 165 feet or more from the treatment area, and treatment activities would not encroach within this distance, direct or indirect impacts are not expected and further mitigation is not required. </w:t>
            </w:r>
          </w:p>
          <w:p w14:paraId="343459EC" w14:textId="3875AB56" w:rsidR="000073D0" w:rsidRDefault="00985A54" w:rsidP="00985A54">
            <w:pPr>
              <w:pStyle w:val="TableBullet1"/>
            </w:pPr>
            <w:r>
              <w:lastRenderedPageBreak/>
              <w:t>If elderberry shrubs are located within 165 feet of the treatment area, the following measures will be implemented:</w:t>
            </w:r>
          </w:p>
          <w:p w14:paraId="576A7CB0" w14:textId="39587017" w:rsidR="000073D0" w:rsidRPr="001F63F1" w:rsidRDefault="00985A54" w:rsidP="000073D0">
            <w:pPr>
              <w:pStyle w:val="TableBullet2"/>
            </w:pPr>
            <w:r w:rsidRPr="00985A54">
              <w:t>A minimum avoidance area of at least 20 feet from the dripline of each elderberry plant will be fenced or flagged and maintained to avoid direct impacts (e.g., damage to root system) that could damage or kill the plant, with the exception of the following activities:</w:t>
            </w:r>
          </w:p>
          <w:p w14:paraId="08CBC658" w14:textId="77777777" w:rsidR="00985A54" w:rsidRDefault="00985A54" w:rsidP="00985A54">
            <w:pPr>
              <w:pStyle w:val="TableBullet3"/>
            </w:pPr>
            <w:r>
              <w:t xml:space="preserve">Manual trimming of elderberry shrubs will only occur between November and February and will avoid removal of any branches or stems that are greater than or equal to 1 inch in diameter to avoid and minimize adverse effects on valley elderberry longhorn beetle. </w:t>
            </w:r>
          </w:p>
          <w:p w14:paraId="10A2C279" w14:textId="0C84E59B" w:rsidR="000073D0" w:rsidRPr="002223E1" w:rsidRDefault="00985A54" w:rsidP="00985A54">
            <w:pPr>
              <w:pStyle w:val="TableBullet3"/>
            </w:pPr>
            <w:r>
              <w:t>Manual or mechanical vegetation treatment within the drip-line of any elderberry shrub will be limited to the season when adults are not active (August - February), will be limited to methods that do not cause ground disturbance, and will avoid damaging the elderberry.</w:t>
            </w:r>
          </w:p>
          <w:p w14:paraId="4F0B677C" w14:textId="06939D88" w:rsidR="000073D0" w:rsidRDefault="00D8104D" w:rsidP="000073D0">
            <w:pPr>
              <w:pStyle w:val="TableBullet2"/>
            </w:pPr>
            <w:r w:rsidRPr="001F63F1">
              <w:t>A qualified RPF</w:t>
            </w:r>
            <w:r>
              <w:t>,</w:t>
            </w:r>
            <w:r w:rsidRPr="007058AB">
              <w:rPr>
                <w:strike/>
              </w:rPr>
              <w:t xml:space="preserve"> or</w:t>
            </w:r>
            <w:r w:rsidRPr="001F63F1">
              <w:t xml:space="preserve"> biologist</w:t>
            </w:r>
            <w:r w:rsidRPr="007058AB">
              <w:rPr>
                <w:u w:val="single"/>
              </w:rPr>
              <w:t>, or biological technician</w:t>
            </w:r>
            <w:r w:rsidRPr="001F63F1">
              <w:t xml:space="preserve"> familiar with valley elderberry longhorn beetle and its life history will monitor the work area to </w:t>
            </w:r>
            <w:r w:rsidRPr="007058AB">
              <w:rPr>
                <w:strike/>
              </w:rPr>
              <w:t>ensure</w:t>
            </w:r>
            <w:r w:rsidRPr="001F63F1">
              <w:t xml:space="preserve"> </w:t>
            </w:r>
            <w:r w:rsidRPr="007058AB">
              <w:rPr>
                <w:u w:val="single"/>
              </w:rPr>
              <w:t xml:space="preserve">verify </w:t>
            </w:r>
            <w:r w:rsidRPr="001F63F1">
              <w:t>the avoidance and minimization measures are implemented.</w:t>
            </w:r>
            <w:r>
              <w:t xml:space="preserve"> </w:t>
            </w:r>
            <w:r w:rsidRPr="007058AB">
              <w:rPr>
                <w:u w:val="single"/>
              </w:rPr>
              <w:t xml:space="preserve">The qualified RPF, biologist, or biological technician will have the authority </w:t>
            </w:r>
            <w:bookmarkStart w:id="86" w:name="_Hlk19002795"/>
            <w:r w:rsidRPr="007058AB">
              <w:rPr>
                <w:u w:val="single"/>
              </w:rPr>
              <w:t>to stop any treatment activities that could result in potential adverse effects to valley elderberry longhorn beetle.</w:t>
            </w:r>
            <w:bookmarkEnd w:id="86"/>
          </w:p>
          <w:p w14:paraId="038DDD7D" w14:textId="0DAB68F8" w:rsidR="000073D0" w:rsidRDefault="00985A54" w:rsidP="000073D0">
            <w:pPr>
              <w:pStyle w:val="TableTextL"/>
              <w:spacing w:after="60"/>
            </w:pPr>
            <w:r w:rsidRPr="00985A54">
              <w:t>If the project proponent cannot implement the measures above to avoid mortality, injury, or disturbance of VELB or degradation of occupied habitat such that its function would not be maintained, the project proponent will implement Mitigation Measure BIO-2c.</w:t>
            </w:r>
          </w:p>
          <w:p w14:paraId="7476A4ED" w14:textId="77777777" w:rsidR="000073D0" w:rsidRPr="004D5E1F" w:rsidRDefault="000073D0" w:rsidP="000073D0">
            <w:pPr>
              <w:pStyle w:val="TableTextL"/>
              <w:spacing w:after="60"/>
              <w:rPr>
                <w:b/>
                <w:bCs/>
              </w:rPr>
            </w:pPr>
            <w:r w:rsidRPr="004D5E1F">
              <w:rPr>
                <w:b/>
                <w:bCs/>
              </w:rPr>
              <w:t xml:space="preserve">Mitigation Measure BIO-3a: Design Treatments to Avoid Loss of Sensitive Natural Communities and Oak Woodlands </w:t>
            </w:r>
          </w:p>
          <w:p w14:paraId="06A211DC" w14:textId="77777777" w:rsidR="000073D0" w:rsidRPr="004D5E1F" w:rsidRDefault="000073D0" w:rsidP="000073D0">
            <w:pPr>
              <w:pStyle w:val="TableTextL"/>
              <w:spacing w:after="60"/>
              <w:rPr>
                <w:rFonts w:cs="Times New Roman"/>
                <w:b/>
                <w:bCs/>
                <w:spacing w:val="-2"/>
              </w:rPr>
            </w:pPr>
            <w:r w:rsidRPr="004D5E1F">
              <w:rPr>
                <w:b/>
                <w:bCs/>
              </w:rPr>
              <w:t>Mitigation Measure BIO-3b: Compensate for Loss of Sensitive Natural Communities and Oak Woodlands</w:t>
            </w:r>
          </w:p>
          <w:p w14:paraId="3C541DBB" w14:textId="73D51707" w:rsidR="0090779A" w:rsidRPr="004D5E1F" w:rsidRDefault="000073D0" w:rsidP="000073D0">
            <w:pPr>
              <w:pStyle w:val="TableTextL"/>
              <w:rPr>
                <w:b/>
                <w:bCs/>
              </w:rPr>
            </w:pPr>
            <w:r w:rsidRPr="004D5E1F">
              <w:rPr>
                <w:b/>
                <w:bCs/>
              </w:rPr>
              <w:t>Mitigation Measure BIO-3c: Compensate for Unavoidable Loss of Riparian Habitat</w:t>
            </w:r>
          </w:p>
        </w:tc>
        <w:tc>
          <w:tcPr>
            <w:tcW w:w="938" w:type="dxa"/>
          </w:tcPr>
          <w:p w14:paraId="0205694D" w14:textId="0CE9883B" w:rsidR="0090779A" w:rsidRPr="005B3573" w:rsidRDefault="000073D0" w:rsidP="0090779A">
            <w:pPr>
              <w:pStyle w:val="TableTextL"/>
              <w:jc w:val="center"/>
            </w:pPr>
            <w:r>
              <w:lastRenderedPageBreak/>
              <w:t>LTS</w:t>
            </w:r>
            <w:r w:rsidR="009B3F06">
              <w:t>M</w:t>
            </w:r>
          </w:p>
        </w:tc>
      </w:tr>
      <w:tr w:rsidR="0090779A" w:rsidRPr="005B3573" w14:paraId="006201D5" w14:textId="77777777" w:rsidTr="003060D2">
        <w:trPr>
          <w:jc w:val="center"/>
        </w:trPr>
        <w:tc>
          <w:tcPr>
            <w:tcW w:w="5856" w:type="dxa"/>
          </w:tcPr>
          <w:p w14:paraId="3CD75F4E" w14:textId="64C7EE59" w:rsidR="0090779A" w:rsidRPr="004D5E1F" w:rsidRDefault="004D5E1F" w:rsidP="0090779A">
            <w:pPr>
              <w:pStyle w:val="TableTextL"/>
              <w:rPr>
                <w:b/>
                <w:bCs/>
              </w:rPr>
            </w:pPr>
            <w:r w:rsidRPr="004D5E1F">
              <w:rPr>
                <w:b/>
                <w:bCs/>
              </w:rPr>
              <w:t>Ground-Nesting Wildlife</w:t>
            </w:r>
          </w:p>
        </w:tc>
        <w:tc>
          <w:tcPr>
            <w:tcW w:w="993" w:type="dxa"/>
          </w:tcPr>
          <w:p w14:paraId="2D700BD4" w14:textId="296B9DD9" w:rsidR="0090779A" w:rsidRPr="005B3573" w:rsidRDefault="004D5E1F" w:rsidP="0090779A">
            <w:pPr>
              <w:pStyle w:val="TableTextL"/>
              <w:jc w:val="center"/>
            </w:pPr>
            <w:r>
              <w:t>PS</w:t>
            </w:r>
          </w:p>
        </w:tc>
        <w:tc>
          <w:tcPr>
            <w:tcW w:w="5893" w:type="dxa"/>
          </w:tcPr>
          <w:p w14:paraId="12C0871D" w14:textId="77777777" w:rsidR="004D7357" w:rsidRPr="004D7357" w:rsidRDefault="004D7357" w:rsidP="004D7357">
            <w:pPr>
              <w:pStyle w:val="TableTextL"/>
              <w:spacing w:after="60"/>
              <w:rPr>
                <w:b/>
                <w:bCs/>
              </w:rPr>
            </w:pPr>
            <w:r w:rsidRPr="004D7357">
              <w:rPr>
                <w:b/>
                <w:bCs/>
              </w:rPr>
              <w:t>Mitigation Measure BIO-2a: Avoid Mortality, Injury, or Disturbance and Maintain Habitat Function for Listed Wildlife Species and California Fully Protected Species (All Treatment Activities)</w:t>
            </w:r>
          </w:p>
          <w:p w14:paraId="7F0C25B1" w14:textId="77777777" w:rsidR="004D7357" w:rsidRPr="004D7357" w:rsidRDefault="004D7357" w:rsidP="004D7357">
            <w:pPr>
              <w:pStyle w:val="TableTextL"/>
              <w:spacing w:after="60"/>
              <w:rPr>
                <w:b/>
                <w:bCs/>
              </w:rPr>
            </w:pPr>
            <w:r w:rsidRPr="004D7357">
              <w:rPr>
                <w:b/>
                <w:bCs/>
              </w:rPr>
              <w:lastRenderedPageBreak/>
              <w:t>Mitigation Measure BIO-2b: Avoid Mortality, Injury, or Disturbance and Maintain Habitat Function for Other Special-Status Wildlife Species (All Treatment Activities)</w:t>
            </w:r>
          </w:p>
          <w:p w14:paraId="100F066B" w14:textId="77777777" w:rsidR="004D7357" w:rsidRPr="004D7357" w:rsidRDefault="004D7357" w:rsidP="004D7357">
            <w:pPr>
              <w:pStyle w:val="TableTextL"/>
              <w:spacing w:after="60"/>
              <w:rPr>
                <w:b/>
                <w:bCs/>
              </w:rPr>
            </w:pPr>
            <w:r w:rsidRPr="004D7357">
              <w:rPr>
                <w:b/>
                <w:bCs/>
              </w:rPr>
              <w:t>Mitigation Measure BIO-2c: Compensate for Mortality, Injury, or Disturbance and Loss of Habitat Function for Special-Status Wildlife if Applicable (All Treatment Activities)</w:t>
            </w:r>
          </w:p>
          <w:p w14:paraId="2B75E7F3" w14:textId="77777777" w:rsidR="004D7357" w:rsidRPr="004D7357" w:rsidRDefault="004D7357" w:rsidP="004D7357">
            <w:pPr>
              <w:pStyle w:val="TableTextL"/>
              <w:spacing w:after="60"/>
              <w:rPr>
                <w:b/>
                <w:bCs/>
              </w:rPr>
            </w:pPr>
            <w:r w:rsidRPr="004D7357">
              <w:rPr>
                <w:b/>
                <w:bCs/>
              </w:rPr>
              <w:t xml:space="preserve">Mitigation Measure BIO-3a: Design Treatments to Avoid Loss of Sensitive Natural Communities and Oak Woodlands </w:t>
            </w:r>
          </w:p>
          <w:p w14:paraId="65502E24" w14:textId="77777777" w:rsidR="004D7357" w:rsidRPr="004D7357" w:rsidRDefault="004D7357" w:rsidP="004D7357">
            <w:pPr>
              <w:pStyle w:val="TableTextL"/>
              <w:spacing w:after="60"/>
              <w:rPr>
                <w:b/>
                <w:bCs/>
              </w:rPr>
            </w:pPr>
            <w:r w:rsidRPr="004D7357">
              <w:rPr>
                <w:b/>
                <w:bCs/>
              </w:rPr>
              <w:t xml:space="preserve">Mitigation Measure BIO-3b: Compensate for Loss of Sensitive Natural Communities and Oak Woodlands </w:t>
            </w:r>
          </w:p>
          <w:p w14:paraId="3E828B59" w14:textId="50070540" w:rsidR="0090779A" w:rsidRPr="004D7357" w:rsidRDefault="004D7357" w:rsidP="004D7357">
            <w:pPr>
              <w:pStyle w:val="TableTextL"/>
              <w:rPr>
                <w:b/>
                <w:bCs/>
              </w:rPr>
            </w:pPr>
            <w:r w:rsidRPr="004D7357">
              <w:rPr>
                <w:b/>
                <w:bCs/>
              </w:rPr>
              <w:t>Mitigation Measure BIO-3c: Compensate for Unavoidable Loss of Riparian Habitat</w:t>
            </w:r>
          </w:p>
        </w:tc>
        <w:tc>
          <w:tcPr>
            <w:tcW w:w="938" w:type="dxa"/>
          </w:tcPr>
          <w:p w14:paraId="3128AC2D" w14:textId="1E1CF7EE" w:rsidR="0090779A" w:rsidRPr="005B3573" w:rsidRDefault="004D7357" w:rsidP="0090779A">
            <w:pPr>
              <w:pStyle w:val="TableTextL"/>
              <w:jc w:val="center"/>
            </w:pPr>
            <w:r>
              <w:lastRenderedPageBreak/>
              <w:t>LTS</w:t>
            </w:r>
            <w:r w:rsidR="00907C5C">
              <w:t>M</w:t>
            </w:r>
          </w:p>
        </w:tc>
      </w:tr>
      <w:tr w:rsidR="0090779A" w:rsidRPr="005B3573" w14:paraId="28FB66B2" w14:textId="77777777" w:rsidTr="003060D2">
        <w:trPr>
          <w:jc w:val="center"/>
        </w:trPr>
        <w:tc>
          <w:tcPr>
            <w:tcW w:w="5856" w:type="dxa"/>
          </w:tcPr>
          <w:p w14:paraId="7814E392" w14:textId="37118CF9" w:rsidR="0090779A" w:rsidRPr="004D7357" w:rsidRDefault="004D7357" w:rsidP="0090779A">
            <w:pPr>
              <w:pStyle w:val="TableTextL"/>
              <w:rPr>
                <w:b/>
                <w:bCs/>
              </w:rPr>
            </w:pPr>
            <w:r w:rsidRPr="004D7357">
              <w:rPr>
                <w:b/>
                <w:bCs/>
              </w:rPr>
              <w:t>Burrowing or Denning Wildlife</w:t>
            </w:r>
          </w:p>
        </w:tc>
        <w:tc>
          <w:tcPr>
            <w:tcW w:w="993" w:type="dxa"/>
          </w:tcPr>
          <w:p w14:paraId="546B3FE4" w14:textId="1414FEC2" w:rsidR="0090779A" w:rsidRPr="005B3573" w:rsidRDefault="004D7357" w:rsidP="0090779A">
            <w:pPr>
              <w:pStyle w:val="TableTextL"/>
              <w:jc w:val="center"/>
            </w:pPr>
            <w:r>
              <w:t>PS</w:t>
            </w:r>
          </w:p>
        </w:tc>
        <w:tc>
          <w:tcPr>
            <w:tcW w:w="5893" w:type="dxa"/>
          </w:tcPr>
          <w:p w14:paraId="19F729DD" w14:textId="77777777" w:rsidR="004D7357" w:rsidRPr="004D7357" w:rsidRDefault="004D7357" w:rsidP="004D7357">
            <w:pPr>
              <w:pStyle w:val="TableTextL"/>
              <w:spacing w:after="60"/>
              <w:rPr>
                <w:b/>
                <w:bCs/>
              </w:rPr>
            </w:pPr>
            <w:r w:rsidRPr="004D7357">
              <w:rPr>
                <w:b/>
                <w:bCs/>
              </w:rPr>
              <w:t>Mitigation Measure BIO-2a: Avoid Mortality, Injury, or Disturbance and Maintain Habitat Function for Listed Wildlife Species and California Fully Protected Species (All Treatment Activities)</w:t>
            </w:r>
          </w:p>
          <w:p w14:paraId="3A0DC958" w14:textId="77777777" w:rsidR="004D7357" w:rsidRPr="004D7357" w:rsidRDefault="004D7357" w:rsidP="004D7357">
            <w:pPr>
              <w:pStyle w:val="TableTextL"/>
              <w:spacing w:after="60"/>
              <w:rPr>
                <w:b/>
                <w:bCs/>
              </w:rPr>
            </w:pPr>
            <w:r w:rsidRPr="004D7357">
              <w:rPr>
                <w:b/>
                <w:bCs/>
              </w:rPr>
              <w:t>Mitigation Measure BIO-2b: Avoid Mortality, Injury, or Disturbance and Maintain Habitat Function for Other Special-Status Wildlife Species (All Treatment Activities)</w:t>
            </w:r>
          </w:p>
          <w:p w14:paraId="3DF20870" w14:textId="77777777" w:rsidR="004D7357" w:rsidRPr="008D1271" w:rsidRDefault="004D7357" w:rsidP="004D7357">
            <w:pPr>
              <w:pStyle w:val="TableTextL"/>
              <w:spacing w:after="60"/>
              <w:rPr>
                <w:b/>
                <w:bCs/>
                <w:spacing w:val="-4"/>
              </w:rPr>
            </w:pPr>
            <w:r w:rsidRPr="008D1271">
              <w:rPr>
                <w:b/>
                <w:bCs/>
                <w:spacing w:val="-4"/>
              </w:rPr>
              <w:t>Mitigation Measure BIO-2c: Compensate for Mortality, Injury, or Disturbance and Loss of Habitat Function for Special-Status Wildlife if Applicable (All Treatment Activities)</w:t>
            </w:r>
          </w:p>
          <w:p w14:paraId="093A97DE" w14:textId="77777777" w:rsidR="004D7357" w:rsidRPr="004D7357" w:rsidRDefault="004D7357" w:rsidP="004D7357">
            <w:pPr>
              <w:pStyle w:val="TableTextL"/>
              <w:spacing w:after="60"/>
              <w:rPr>
                <w:b/>
                <w:bCs/>
              </w:rPr>
            </w:pPr>
            <w:r w:rsidRPr="004D7357">
              <w:rPr>
                <w:b/>
                <w:bCs/>
              </w:rPr>
              <w:t xml:space="preserve">Mitigation Measure BIO-3a: Design Treatments to Avoid Loss of Sensitive Natural Communities and Oak Woodlands </w:t>
            </w:r>
          </w:p>
          <w:p w14:paraId="27E0D7B2" w14:textId="77777777" w:rsidR="004D7357" w:rsidRPr="004D7357" w:rsidRDefault="004D7357" w:rsidP="004D7357">
            <w:pPr>
              <w:pStyle w:val="TableTextL"/>
              <w:spacing w:after="60"/>
              <w:rPr>
                <w:b/>
                <w:bCs/>
              </w:rPr>
            </w:pPr>
            <w:r w:rsidRPr="004D7357">
              <w:rPr>
                <w:b/>
                <w:bCs/>
              </w:rPr>
              <w:t xml:space="preserve">Mitigation Measure BIO-3b: Compensate for Loss of Sensitive Natural Communities and Oak Woodlands </w:t>
            </w:r>
          </w:p>
          <w:p w14:paraId="317EDE61" w14:textId="77BF9C68" w:rsidR="0090779A" w:rsidRPr="005B3573" w:rsidRDefault="004D7357" w:rsidP="004D7357">
            <w:pPr>
              <w:pStyle w:val="TableTextL"/>
            </w:pPr>
            <w:r w:rsidRPr="004D7357">
              <w:rPr>
                <w:b/>
                <w:bCs/>
              </w:rPr>
              <w:t>Mitigation Measure BIO-3c: Compensate for Unavoidable Loss of Riparian Habitat</w:t>
            </w:r>
          </w:p>
        </w:tc>
        <w:tc>
          <w:tcPr>
            <w:tcW w:w="938" w:type="dxa"/>
          </w:tcPr>
          <w:p w14:paraId="6B25ECD4" w14:textId="77E0E6D9" w:rsidR="0090779A" w:rsidRPr="005B3573" w:rsidRDefault="004D7357" w:rsidP="0090779A">
            <w:pPr>
              <w:pStyle w:val="TableTextL"/>
              <w:jc w:val="center"/>
            </w:pPr>
            <w:r>
              <w:t>LTS</w:t>
            </w:r>
            <w:r w:rsidR="00907C5C">
              <w:t>M</w:t>
            </w:r>
          </w:p>
        </w:tc>
      </w:tr>
      <w:tr w:rsidR="0090779A" w:rsidRPr="005B3573" w14:paraId="47E49E60" w14:textId="77777777" w:rsidTr="003060D2">
        <w:trPr>
          <w:jc w:val="center"/>
        </w:trPr>
        <w:tc>
          <w:tcPr>
            <w:tcW w:w="5856" w:type="dxa"/>
          </w:tcPr>
          <w:p w14:paraId="25D9F67B" w14:textId="433822ED" w:rsidR="0090779A" w:rsidRPr="004D7357" w:rsidRDefault="004D7357" w:rsidP="0090779A">
            <w:pPr>
              <w:pStyle w:val="TableTextL"/>
              <w:rPr>
                <w:b/>
                <w:bCs/>
              </w:rPr>
            </w:pPr>
            <w:r w:rsidRPr="004D7357">
              <w:rPr>
                <w:b/>
                <w:bCs/>
              </w:rPr>
              <w:t>Insects and Other Terrestrial Invertebrates</w:t>
            </w:r>
          </w:p>
        </w:tc>
        <w:tc>
          <w:tcPr>
            <w:tcW w:w="993" w:type="dxa"/>
          </w:tcPr>
          <w:p w14:paraId="35D18FAC" w14:textId="409660DE" w:rsidR="0090779A" w:rsidRPr="005B3573" w:rsidRDefault="004D7357" w:rsidP="0090779A">
            <w:pPr>
              <w:pStyle w:val="TableTextL"/>
              <w:jc w:val="center"/>
            </w:pPr>
            <w:r>
              <w:t>PS</w:t>
            </w:r>
          </w:p>
        </w:tc>
        <w:tc>
          <w:tcPr>
            <w:tcW w:w="5893" w:type="dxa"/>
          </w:tcPr>
          <w:p w14:paraId="61878FE9" w14:textId="77777777" w:rsidR="004D7357" w:rsidRPr="004D7357" w:rsidRDefault="004D7357" w:rsidP="004D7357">
            <w:pPr>
              <w:pStyle w:val="TableTextL"/>
              <w:spacing w:after="60"/>
              <w:rPr>
                <w:b/>
                <w:bCs/>
              </w:rPr>
            </w:pPr>
            <w:r w:rsidRPr="004D7357">
              <w:rPr>
                <w:b/>
                <w:bCs/>
              </w:rPr>
              <w:t>Mitigation Measure BIO-2a: Avoid Mortality, Injury, or Disturbance and Maintain Habitat Function for Listed Wildlife Species and California Fully Protected Species (All Treatment Activities)</w:t>
            </w:r>
          </w:p>
          <w:p w14:paraId="28A8D010" w14:textId="77777777" w:rsidR="004D7357" w:rsidRPr="004D7357" w:rsidRDefault="004D7357" w:rsidP="004D7357">
            <w:pPr>
              <w:pStyle w:val="TableTextL"/>
              <w:spacing w:after="60"/>
              <w:rPr>
                <w:b/>
                <w:bCs/>
              </w:rPr>
            </w:pPr>
            <w:r w:rsidRPr="004D7357">
              <w:rPr>
                <w:b/>
                <w:bCs/>
              </w:rPr>
              <w:t>Mitigation Measure BIO-2b: Avoid Mortality, Injury, or Disturbance and Maintain Habitat Function for Other Special-Status Wildlife Species (All Treatment Activities)</w:t>
            </w:r>
          </w:p>
          <w:p w14:paraId="6F42B74C" w14:textId="77777777" w:rsidR="004D7357" w:rsidRPr="008D1271" w:rsidRDefault="004D7357" w:rsidP="004D7357">
            <w:pPr>
              <w:pStyle w:val="TableTextL"/>
              <w:spacing w:after="60"/>
              <w:rPr>
                <w:b/>
                <w:bCs/>
                <w:spacing w:val="-4"/>
              </w:rPr>
            </w:pPr>
            <w:r w:rsidRPr="008D1271">
              <w:rPr>
                <w:b/>
                <w:bCs/>
                <w:spacing w:val="-4"/>
              </w:rPr>
              <w:t>Mitigation Measure BIO-2c: Compensate for Mortality, Injury, or Disturbance and Loss of Habitat Function for Special-Status Wildlife if Applicable (All Treatment Activities)</w:t>
            </w:r>
          </w:p>
          <w:p w14:paraId="59E118BC" w14:textId="77777777" w:rsidR="0090779A" w:rsidRPr="004D7357" w:rsidRDefault="004D7357" w:rsidP="004D7357">
            <w:pPr>
              <w:pStyle w:val="TableTextL"/>
              <w:spacing w:after="60"/>
              <w:rPr>
                <w:b/>
                <w:bCs/>
              </w:rPr>
            </w:pPr>
            <w:r w:rsidRPr="004D7357">
              <w:rPr>
                <w:b/>
                <w:bCs/>
              </w:rPr>
              <w:lastRenderedPageBreak/>
              <w:t>Mitigation Measure BIO-2d: Implement Protective Measures for Valley Elderberry Longhorn Beetle (All Treatment Activities)</w:t>
            </w:r>
          </w:p>
          <w:p w14:paraId="4A688017" w14:textId="77777777" w:rsidR="004D7357" w:rsidRPr="004D7357" w:rsidRDefault="004D7357" w:rsidP="004D7357">
            <w:pPr>
              <w:pStyle w:val="TableTextL"/>
              <w:rPr>
                <w:b/>
                <w:bCs/>
              </w:rPr>
            </w:pPr>
            <w:r w:rsidRPr="004D7357">
              <w:rPr>
                <w:b/>
                <w:bCs/>
              </w:rPr>
              <w:t>Mitigation Measure BIO-2e: Design Treatment to Retain Special-Status Butterfly Host Plants (All Treatment Activities)</w:t>
            </w:r>
          </w:p>
          <w:p w14:paraId="2606BFD5" w14:textId="770AB9B3" w:rsidR="004D7357" w:rsidRDefault="00CF6324" w:rsidP="004D7357">
            <w:pPr>
              <w:pStyle w:val="TableTextL"/>
            </w:pPr>
            <w:r w:rsidRPr="00CF6324">
              <w:t>If federally listed butterflies are identified as occurring or having potential to occur during review and surveys for SPR BIO-1 and confirmed during protocol-level surveys per SPR BIO-10, then the following measures will be implemented:</w:t>
            </w:r>
          </w:p>
          <w:p w14:paraId="0D3E70B2" w14:textId="77777777" w:rsidR="00CF6324" w:rsidRDefault="00CF6324" w:rsidP="00CF6324">
            <w:pPr>
              <w:pStyle w:val="TableBullet1"/>
            </w:pPr>
            <w:r>
              <w:t xml:space="preserve">Treatment areas within the range of these species will be surveyed for the host plant for each species (Table 3.6-34). </w:t>
            </w:r>
          </w:p>
          <w:p w14:paraId="2F7624F9" w14:textId="77777777" w:rsidR="00CF6324" w:rsidRDefault="00CF6324" w:rsidP="00CF6324">
            <w:pPr>
              <w:pStyle w:val="TableBullet1"/>
            </w:pPr>
            <w:r>
              <w:t>Host plants for federally listed butterflies within the occupied habitat will be marked with high-visibility flagging, fencing, or stakes, and no treatment activities will occur within 10 feet of these plants.</w:t>
            </w:r>
          </w:p>
          <w:p w14:paraId="627522CC" w14:textId="77777777" w:rsidR="00CF6324" w:rsidRDefault="00CF6324" w:rsidP="00CF6324">
            <w:pPr>
              <w:pStyle w:val="TableBullet1"/>
            </w:pPr>
            <w:r>
              <w:t>Because prescribed herbivory could result in the indiscriminate removal of the host plants for federally listed butterflies, this treatment type will not be used within occupied habitat of any federally listed butterfly species, unless it is known that the host plant is unpalatable to the herbivore.</w:t>
            </w:r>
          </w:p>
          <w:p w14:paraId="42C4CABE" w14:textId="77777777" w:rsidR="00CF6324" w:rsidRDefault="00CF6324" w:rsidP="00CF6324">
            <w:pPr>
              <w:pStyle w:val="TableBullet1"/>
            </w:pPr>
            <w:r>
              <w:t>Treatment areas that are not occupied but are within the range of the federally listed butterfly will be divided into as many treatment units as feasible such that the entirety of the habitat is not treated within the same year.</w:t>
            </w:r>
          </w:p>
          <w:p w14:paraId="61B1779A" w14:textId="12A2C4AD" w:rsidR="004D7357" w:rsidRDefault="00CF6324" w:rsidP="00CF6324">
            <w:pPr>
              <w:pStyle w:val="TableBullet1"/>
            </w:pPr>
            <w:r>
              <w:t>Treatments will be conducted in a patchy pattern to the extent feasible in areas that are not occupied but are within the range of the federally listed butterfly, such that the entirety of the habitat is not burned or removed and untreated portions of suitable habitat are retained.</w:t>
            </w:r>
          </w:p>
          <w:p w14:paraId="5A60CC5A" w14:textId="77777777" w:rsidR="00CF6324" w:rsidRDefault="00CF6324" w:rsidP="00097433">
            <w:pPr>
              <w:pStyle w:val="TableTextL"/>
              <w:spacing w:after="60"/>
            </w:pPr>
            <w:r>
              <w:t>If the project proponent cannot implement the measures above to avoid mortality, injury, or disturbance of federally listed butterflies or degradation of occupied habitat (host plants) such that its function would not be maintained, the project proponent will implement Mitigation Measure BIO-2c.</w:t>
            </w:r>
          </w:p>
          <w:p w14:paraId="4E8C7921" w14:textId="77777777" w:rsidR="00CF6324" w:rsidRPr="00AF27B9" w:rsidRDefault="00CF6324" w:rsidP="00097433">
            <w:pPr>
              <w:pStyle w:val="TableTextL"/>
              <w:spacing w:after="60"/>
              <w:rPr>
                <w:spacing w:val="-2"/>
              </w:rPr>
            </w:pPr>
            <w:r w:rsidRPr="00AF27B9">
              <w:rPr>
                <w:b/>
                <w:bCs/>
                <w:spacing w:val="-2"/>
              </w:rPr>
              <w:t>CESA and ESA Listed Species.</w:t>
            </w:r>
            <w:r w:rsidRPr="00AF27B9">
              <w:rPr>
                <w:spacing w:val="-2"/>
              </w:rPr>
              <w:t xml:space="preserve"> A qualified RPF or biologist will determine if, after implementation of any feasible impact avoidance measures (potentially including others not listed above), the treatment will result in mortality, injury, or disturbance, or if after implementation of the treatment, habitat function will remain for the affected species. For species listed under CESA or ESA or that are fully protected, the qualified RPF or biologist will consult with CDFW and/or USFWS regarding this determination. If </w:t>
            </w:r>
            <w:r w:rsidRPr="00AF27B9">
              <w:rPr>
                <w:spacing w:val="-2"/>
              </w:rPr>
              <w:lastRenderedPageBreak/>
              <w:t xml:space="preserve">consultation determines that mortality, injury, or disturbance of listed butterflies or degradation of occupied habitat such that its function would not be maintained would occur, the project proponent will implement Mitigation Measure BIO-2c. </w:t>
            </w:r>
          </w:p>
          <w:p w14:paraId="402E117A" w14:textId="77777777" w:rsidR="002B7B2D" w:rsidRPr="002B7B2D" w:rsidRDefault="002B7B2D" w:rsidP="002B7B2D">
            <w:pPr>
              <w:pStyle w:val="TableTextL"/>
            </w:pPr>
            <w:r w:rsidRPr="002B7B2D">
              <w:rPr>
                <w:b/>
                <w:bCs/>
              </w:rPr>
              <w:t>Other Special-status Species.</w:t>
            </w:r>
            <w:r w:rsidRPr="002B7B2D">
              <w:t xml:space="preserve"> A qualified RPF or biologist with knowledge of the special-status species’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habitat function of the special-status species’ habitat or because the loss of special-status individuals would substantially reduce the number or restrict the range of a special-status species. If the project proponent determines the impact on special-status butterflies would be less than significant, no further mitigation will be required. If the project proponent determines that the loss of special-status butterflies or degradation of occupied habitat would be significant under CEQA after implementing feasible treatment design alternatives and impact minimization measures, then Mitigation Measure BIO-2c will be implemented. </w:t>
            </w:r>
          </w:p>
          <w:p w14:paraId="43817BCC" w14:textId="42613C34" w:rsidR="004D7357" w:rsidRPr="00D462F7" w:rsidRDefault="002B7B2D" w:rsidP="002B7B2D">
            <w:pPr>
              <w:pStyle w:val="TableTextL"/>
            </w:pPr>
            <w:r w:rsidRPr="002B7B2D">
              <w:t xml:space="preserve">The only exception to this mitigation approach is in cases where it is determined by a qualified RPF or biologist that the special-status butterfly </w:t>
            </w:r>
            <w:r w:rsidRPr="007058AB">
              <w:rPr>
                <w:u w:val="single"/>
              </w:rPr>
              <w:t xml:space="preserve">species </w:t>
            </w:r>
            <w:r w:rsidRPr="002B7B2D">
              <w:t xml:space="preserve">would benefit from treatment in the occupied habitat area even though some may be killed, injured or disturbed during treatment activities. </w:t>
            </w:r>
            <w:r w:rsidRPr="007058AB">
              <w:rPr>
                <w:u w:val="single"/>
              </w:rPr>
              <w:t xml:space="preserve">For a treatment to be considered beneficial to special-status butterfly species,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and the substantial evidence will be included in the PSA. </w:t>
            </w:r>
            <w:r w:rsidRPr="002B7B2D">
              <w:t>If it is determined that treatment activities would be beneficial to special-status butterflies, no compensatory mitigation will be required.</w:t>
            </w:r>
            <w:r w:rsidR="00D462F7">
              <w:t xml:space="preserve"> </w:t>
            </w:r>
          </w:p>
        </w:tc>
        <w:tc>
          <w:tcPr>
            <w:tcW w:w="938" w:type="dxa"/>
          </w:tcPr>
          <w:p w14:paraId="5977116E" w14:textId="76CA0A2A" w:rsidR="00706EB2" w:rsidRPr="005B3573" w:rsidRDefault="00410178" w:rsidP="00706EB2">
            <w:pPr>
              <w:pStyle w:val="TableTextL"/>
              <w:jc w:val="center"/>
            </w:pPr>
            <w:r>
              <w:lastRenderedPageBreak/>
              <w:t>SU</w:t>
            </w:r>
          </w:p>
        </w:tc>
      </w:tr>
    </w:tbl>
    <w:p w14:paraId="5BF9542E" w14:textId="343544C5" w:rsidR="0077614F" w:rsidRDefault="0077614F"/>
    <w:tbl>
      <w:tblPr>
        <w:tblW w:w="13680" w:type="dxa"/>
        <w:jc w:val="center"/>
        <w:tblBorders>
          <w:bottom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5856"/>
        <w:gridCol w:w="993"/>
        <w:gridCol w:w="5893"/>
        <w:gridCol w:w="938"/>
      </w:tblGrid>
      <w:tr w:rsidR="002C6003" w:rsidRPr="00926491" w14:paraId="68B1067A" w14:textId="77777777" w:rsidTr="008D131D">
        <w:trPr>
          <w:tblHeader/>
          <w:jc w:val="center"/>
        </w:trPr>
        <w:tc>
          <w:tcPr>
            <w:tcW w:w="13680" w:type="dxa"/>
            <w:gridSpan w:val="4"/>
            <w:tcBorders>
              <w:top w:val="nil"/>
              <w:bottom w:val="single" w:sz="4" w:space="0" w:color="auto"/>
            </w:tcBorders>
            <w:shd w:val="clear" w:color="auto" w:fill="auto"/>
          </w:tcPr>
          <w:p w14:paraId="0E8A3F74" w14:textId="77777777" w:rsidR="002C6003" w:rsidRPr="00926491" w:rsidRDefault="002C6003" w:rsidP="008D131D">
            <w:pPr>
              <w:pStyle w:val="TableHeader"/>
              <w:rPr>
                <w:b/>
              </w:rPr>
            </w:pPr>
            <w:bookmarkStart w:id="87" w:name="_Toc24009448"/>
            <w:r w:rsidRPr="00926491">
              <w:lastRenderedPageBreak/>
              <w:t>Table ES-1</w:t>
            </w:r>
            <w:r w:rsidRPr="00926491">
              <w:tab/>
              <w:t>Summary of Impacts and Mitigation Measures</w:t>
            </w:r>
            <w:bookmarkEnd w:id="87"/>
          </w:p>
        </w:tc>
      </w:tr>
      <w:tr w:rsidR="002C6003" w:rsidRPr="00CA23A9" w14:paraId="2B1360D8" w14:textId="77777777" w:rsidTr="008D131D">
        <w:trPr>
          <w:tblHeader/>
          <w:jc w:val="center"/>
        </w:trPr>
        <w:tc>
          <w:tcPr>
            <w:tcW w:w="5856" w:type="dxa"/>
            <w:tcBorders>
              <w:top w:val="single" w:sz="4" w:space="0" w:color="auto"/>
              <w:bottom w:val="single" w:sz="4" w:space="0" w:color="auto"/>
            </w:tcBorders>
            <w:shd w:val="clear" w:color="auto" w:fill="D9D9D9" w:themeFill="background1" w:themeFillShade="D9"/>
            <w:vAlign w:val="center"/>
          </w:tcPr>
          <w:p w14:paraId="6A525F25" w14:textId="0868AADD" w:rsidR="002C6003" w:rsidRPr="00CA23A9" w:rsidRDefault="002C6003" w:rsidP="008D131D">
            <w:pPr>
              <w:pStyle w:val="TableColumn"/>
            </w:pPr>
            <w:r w:rsidRPr="00CA23A9">
              <w:t>Impacts</w:t>
            </w:r>
          </w:p>
        </w:tc>
        <w:tc>
          <w:tcPr>
            <w:tcW w:w="993" w:type="dxa"/>
            <w:tcBorders>
              <w:top w:val="single" w:sz="4" w:space="0" w:color="auto"/>
              <w:bottom w:val="single" w:sz="4" w:space="0" w:color="auto"/>
            </w:tcBorders>
            <w:shd w:val="clear" w:color="auto" w:fill="D9D9D9" w:themeFill="background1" w:themeFillShade="D9"/>
            <w:vAlign w:val="center"/>
          </w:tcPr>
          <w:p w14:paraId="7518ECB3" w14:textId="77777777" w:rsidR="002C6003" w:rsidRPr="00CA23A9" w:rsidRDefault="002C6003" w:rsidP="008D131D">
            <w:pPr>
              <w:pStyle w:val="TableColumn"/>
            </w:pPr>
            <w:r w:rsidRPr="00CA23A9">
              <w:t>Significance before Mitigation</w:t>
            </w:r>
          </w:p>
        </w:tc>
        <w:tc>
          <w:tcPr>
            <w:tcW w:w="5893" w:type="dxa"/>
            <w:tcBorders>
              <w:top w:val="single" w:sz="4" w:space="0" w:color="auto"/>
              <w:bottom w:val="single" w:sz="4" w:space="0" w:color="auto"/>
            </w:tcBorders>
            <w:shd w:val="clear" w:color="auto" w:fill="D9D9D9" w:themeFill="background1" w:themeFillShade="D9"/>
            <w:vAlign w:val="center"/>
          </w:tcPr>
          <w:p w14:paraId="583D7C32" w14:textId="77777777" w:rsidR="002C6003" w:rsidRPr="00CA23A9" w:rsidRDefault="002C6003" w:rsidP="008D131D">
            <w:pPr>
              <w:pStyle w:val="TableColumn"/>
            </w:pPr>
            <w:r w:rsidRPr="00CA23A9">
              <w:t>Mitigation Measures</w:t>
            </w:r>
          </w:p>
        </w:tc>
        <w:tc>
          <w:tcPr>
            <w:tcW w:w="938" w:type="dxa"/>
            <w:tcBorders>
              <w:top w:val="single" w:sz="4" w:space="0" w:color="auto"/>
              <w:bottom w:val="single" w:sz="4" w:space="0" w:color="auto"/>
            </w:tcBorders>
            <w:shd w:val="clear" w:color="auto" w:fill="D9D9D9" w:themeFill="background1" w:themeFillShade="D9"/>
            <w:vAlign w:val="center"/>
          </w:tcPr>
          <w:p w14:paraId="49D27D07" w14:textId="77777777" w:rsidR="002C6003" w:rsidRPr="00CA23A9" w:rsidRDefault="002C6003" w:rsidP="008D131D">
            <w:pPr>
              <w:pStyle w:val="TableColumn"/>
            </w:pPr>
            <w:r w:rsidRPr="00CA23A9">
              <w:t>Significance after Mitigation</w:t>
            </w:r>
          </w:p>
        </w:tc>
      </w:tr>
      <w:tr w:rsidR="002C6003" w:rsidRPr="00CA23A9" w14:paraId="6BCD9B57" w14:textId="77777777" w:rsidTr="008D131D">
        <w:trPr>
          <w:tblHeader/>
          <w:jc w:val="center"/>
        </w:trPr>
        <w:tc>
          <w:tcPr>
            <w:tcW w:w="13680" w:type="dxa"/>
            <w:gridSpan w:val="4"/>
            <w:tcBorders>
              <w:bottom w:val="single" w:sz="4" w:space="0" w:color="auto"/>
            </w:tcBorders>
            <w:shd w:val="clear" w:color="auto" w:fill="D9D9D9" w:themeFill="background1" w:themeFillShade="D9"/>
          </w:tcPr>
          <w:p w14:paraId="2176F625" w14:textId="249E5128" w:rsidR="002C6003" w:rsidRPr="00CA23A9" w:rsidRDefault="002C6003" w:rsidP="008D131D">
            <w:pPr>
              <w:pStyle w:val="TableColumn"/>
            </w:pPr>
            <w:r w:rsidRPr="00CA23A9">
              <w:t>NI = No impact</w:t>
            </w:r>
            <w:r w:rsidRPr="00CA23A9">
              <w:tab/>
              <w:t>LTS = Less than significant</w:t>
            </w:r>
            <w:r w:rsidRPr="00CA23A9">
              <w:tab/>
              <w:t>PS = Potentially significant</w:t>
            </w:r>
            <w:r w:rsidRPr="00CA23A9">
              <w:tab/>
              <w:t>LTS</w:t>
            </w:r>
            <w:r>
              <w:t>M</w:t>
            </w:r>
            <w:r w:rsidRPr="00CA23A9">
              <w:t xml:space="preserve"> = Less than significant</w:t>
            </w:r>
            <w:r>
              <w:t xml:space="preserve"> with Mitigation </w:t>
            </w:r>
            <w:r w:rsidRPr="00CA23A9">
              <w:t>SU = Significant and unavoidable</w:t>
            </w:r>
          </w:p>
        </w:tc>
      </w:tr>
    </w:tbl>
    <w:p w14:paraId="4572DE50" w14:textId="0F40D41E" w:rsidR="002C6003" w:rsidRDefault="002C6003"/>
    <w:tbl>
      <w:tblPr>
        <w:tblW w:w="5760" w:type="dxa"/>
        <w:tblInd w:w="6912" w:type="dxa"/>
        <w:tblLayout w:type="fixed"/>
        <w:tblCellMar>
          <w:top w:w="29" w:type="dxa"/>
          <w:left w:w="43" w:type="dxa"/>
          <w:bottom w:w="14" w:type="dxa"/>
          <w:right w:w="43" w:type="dxa"/>
        </w:tblCellMar>
        <w:tblLook w:val="04A0" w:firstRow="1" w:lastRow="0" w:firstColumn="1" w:lastColumn="0" w:noHBand="0" w:noVBand="1"/>
      </w:tblPr>
      <w:tblGrid>
        <w:gridCol w:w="2070"/>
        <w:gridCol w:w="3690"/>
      </w:tblGrid>
      <w:tr w:rsidR="00FE4227" w14:paraId="7C037D87" w14:textId="77777777" w:rsidTr="002C6003">
        <w:trPr>
          <w:trHeight w:val="20"/>
          <w:tblHeader/>
        </w:trPr>
        <w:tc>
          <w:tcPr>
            <w:tcW w:w="5760" w:type="dxa"/>
            <w:gridSpan w:val="2"/>
            <w:tcBorders>
              <w:bottom w:val="single" w:sz="8" w:space="0" w:color="auto"/>
              <w:right w:val="single" w:sz="8" w:space="0" w:color="auto"/>
            </w:tcBorders>
            <w:shd w:val="clear" w:color="auto" w:fill="auto"/>
            <w:noWrap/>
            <w:vAlign w:val="center"/>
          </w:tcPr>
          <w:p w14:paraId="6C14FB8F" w14:textId="5C61411C" w:rsidR="00FE4227" w:rsidRDefault="00FE4227" w:rsidP="00FF5B16">
            <w:pPr>
              <w:pStyle w:val="TableHeader"/>
            </w:pPr>
            <w:bookmarkStart w:id="88" w:name="_Toc12020799"/>
            <w:bookmarkStart w:id="89" w:name="_Toc12026037"/>
            <w:bookmarkStart w:id="90" w:name="_Toc24009449"/>
            <w:r w:rsidRPr="00765F2C">
              <w:t>Table 3.6-34</w:t>
            </w:r>
            <w:r>
              <w:tab/>
              <w:t>Special-status Butterflies and Associated Host</w:t>
            </w:r>
            <w:r w:rsidR="004B42BB">
              <w:t> </w:t>
            </w:r>
            <w:r>
              <w:t>Plants</w:t>
            </w:r>
            <w:bookmarkEnd w:id="88"/>
            <w:bookmarkEnd w:id="89"/>
            <w:bookmarkEnd w:id="90"/>
          </w:p>
        </w:tc>
      </w:tr>
      <w:tr w:rsidR="00FE4227" w14:paraId="6EA7D98E" w14:textId="77777777" w:rsidTr="002C6003">
        <w:trPr>
          <w:trHeight w:val="20"/>
          <w:tblHeader/>
        </w:trPr>
        <w:tc>
          <w:tcPr>
            <w:tcW w:w="2070" w:type="dxa"/>
            <w:tcBorders>
              <w:bottom w:val="single" w:sz="8" w:space="0" w:color="auto"/>
              <w:right w:val="single" w:sz="8" w:space="0" w:color="auto"/>
            </w:tcBorders>
            <w:shd w:val="clear" w:color="auto" w:fill="D9D9D9" w:themeFill="background1" w:themeFillShade="D9"/>
            <w:noWrap/>
            <w:vAlign w:val="center"/>
            <w:hideMark/>
          </w:tcPr>
          <w:p w14:paraId="2CF3A97E" w14:textId="77777777" w:rsidR="00FE4227" w:rsidRDefault="00FE4227" w:rsidP="00FF5B16">
            <w:pPr>
              <w:pStyle w:val="TableColumn"/>
              <w:keepNext/>
              <w:rPr>
                <w:szCs w:val="18"/>
              </w:rPr>
            </w:pPr>
            <w:r>
              <w:rPr>
                <w:szCs w:val="18"/>
              </w:rPr>
              <w:t>Butterfly Species</w:t>
            </w:r>
          </w:p>
        </w:tc>
        <w:tc>
          <w:tcPr>
            <w:tcW w:w="3690" w:type="dxa"/>
            <w:tcBorders>
              <w:top w:val="nil"/>
              <w:left w:val="nil"/>
              <w:bottom w:val="single" w:sz="8" w:space="0" w:color="auto"/>
              <w:right w:val="single" w:sz="8" w:space="0" w:color="auto"/>
            </w:tcBorders>
            <w:shd w:val="clear" w:color="auto" w:fill="D9D9D9" w:themeFill="background1" w:themeFillShade="D9"/>
            <w:noWrap/>
            <w:vAlign w:val="center"/>
            <w:hideMark/>
          </w:tcPr>
          <w:p w14:paraId="1ABA0D95" w14:textId="77777777" w:rsidR="00FE4227" w:rsidRDefault="00FE4227" w:rsidP="00FF5B16">
            <w:pPr>
              <w:pStyle w:val="TableColumn"/>
              <w:rPr>
                <w:szCs w:val="18"/>
              </w:rPr>
            </w:pPr>
            <w:r>
              <w:rPr>
                <w:szCs w:val="18"/>
              </w:rPr>
              <w:t>Host Plants</w:t>
            </w:r>
          </w:p>
        </w:tc>
      </w:tr>
      <w:tr w:rsidR="00FE4227" w14:paraId="5BF54A05" w14:textId="77777777" w:rsidTr="002C6003">
        <w:trPr>
          <w:trHeight w:val="20"/>
        </w:trPr>
        <w:tc>
          <w:tcPr>
            <w:tcW w:w="2070" w:type="dxa"/>
            <w:tcBorders>
              <w:top w:val="nil"/>
              <w:bottom w:val="single" w:sz="8" w:space="0" w:color="auto"/>
              <w:right w:val="single" w:sz="8" w:space="0" w:color="auto"/>
            </w:tcBorders>
            <w:shd w:val="clear" w:color="auto" w:fill="auto"/>
            <w:noWrap/>
          </w:tcPr>
          <w:p w14:paraId="385200EA" w14:textId="77777777" w:rsidR="00FE4227" w:rsidRPr="00380275" w:rsidRDefault="00FE4227" w:rsidP="00FF5B16">
            <w:pPr>
              <w:pStyle w:val="TableTextL"/>
              <w:keepNext/>
            </w:pPr>
            <w:r w:rsidRPr="00380275">
              <w:t>bay checkerspot butterfly</w:t>
            </w:r>
          </w:p>
        </w:tc>
        <w:tc>
          <w:tcPr>
            <w:tcW w:w="3690" w:type="dxa"/>
            <w:tcBorders>
              <w:top w:val="nil"/>
              <w:left w:val="nil"/>
              <w:bottom w:val="single" w:sz="8" w:space="0" w:color="auto"/>
              <w:right w:val="single" w:sz="8" w:space="0" w:color="auto"/>
            </w:tcBorders>
            <w:shd w:val="clear" w:color="auto" w:fill="auto"/>
            <w:noWrap/>
          </w:tcPr>
          <w:p w14:paraId="3CF9F33D" w14:textId="77777777" w:rsidR="00FE4227" w:rsidRPr="00380275" w:rsidRDefault="00FE4227" w:rsidP="00FF5B16">
            <w:pPr>
              <w:pStyle w:val="TableTextL"/>
              <w:rPr>
                <w:b/>
              </w:rPr>
            </w:pPr>
            <w:r>
              <w:t>d</w:t>
            </w:r>
            <w:r w:rsidRPr="00380275">
              <w:t>warf plantain</w:t>
            </w:r>
            <w:r>
              <w:t xml:space="preserve"> (</w:t>
            </w:r>
            <w:proofErr w:type="spellStart"/>
            <w:r>
              <w:rPr>
                <w:i/>
              </w:rPr>
              <w:t>Plantago</w:t>
            </w:r>
            <w:proofErr w:type="spellEnd"/>
            <w:r>
              <w:rPr>
                <w:i/>
              </w:rPr>
              <w:t xml:space="preserve"> </w:t>
            </w:r>
            <w:proofErr w:type="spellStart"/>
            <w:r>
              <w:rPr>
                <w:i/>
              </w:rPr>
              <w:t>virginica</w:t>
            </w:r>
            <w:proofErr w:type="spellEnd"/>
            <w:r>
              <w:t xml:space="preserve">), </w:t>
            </w:r>
            <w:r w:rsidRPr="00380275">
              <w:t>purple owl</w:t>
            </w:r>
            <w:r>
              <w:t>’</w:t>
            </w:r>
            <w:r w:rsidRPr="00380275">
              <w:t>s clover</w:t>
            </w:r>
            <w:r>
              <w:t xml:space="preserve"> (</w:t>
            </w:r>
            <w:proofErr w:type="spellStart"/>
            <w:r>
              <w:rPr>
                <w:i/>
              </w:rPr>
              <w:t>Castilleja</w:t>
            </w:r>
            <w:proofErr w:type="spellEnd"/>
            <w:r>
              <w:rPr>
                <w:i/>
              </w:rPr>
              <w:t xml:space="preserve"> </w:t>
            </w:r>
            <w:proofErr w:type="spellStart"/>
            <w:r>
              <w:rPr>
                <w:i/>
              </w:rPr>
              <w:t>exserta</w:t>
            </w:r>
            <w:proofErr w:type="spellEnd"/>
            <w:r>
              <w:t>)</w:t>
            </w:r>
          </w:p>
        </w:tc>
      </w:tr>
      <w:tr w:rsidR="00FE4227" w14:paraId="7BD8922F" w14:textId="77777777" w:rsidTr="002C6003">
        <w:trPr>
          <w:trHeight w:val="20"/>
        </w:trPr>
        <w:tc>
          <w:tcPr>
            <w:tcW w:w="2070" w:type="dxa"/>
            <w:tcBorders>
              <w:top w:val="nil"/>
              <w:bottom w:val="single" w:sz="8" w:space="0" w:color="auto"/>
              <w:right w:val="single" w:sz="8" w:space="0" w:color="auto"/>
            </w:tcBorders>
            <w:shd w:val="clear" w:color="auto" w:fill="auto"/>
            <w:noWrap/>
          </w:tcPr>
          <w:p w14:paraId="6C257A01" w14:textId="77777777" w:rsidR="00FE4227" w:rsidRPr="00380275" w:rsidRDefault="00FE4227" w:rsidP="00FF5B16">
            <w:pPr>
              <w:pStyle w:val="TableTextL"/>
              <w:keepNext/>
            </w:pPr>
            <w:proofErr w:type="spellStart"/>
            <w:r w:rsidRPr="00380275">
              <w:t>Behren</w:t>
            </w:r>
            <w:r>
              <w:t>’</w:t>
            </w:r>
            <w:r w:rsidRPr="00380275">
              <w:t>s</w:t>
            </w:r>
            <w:proofErr w:type="spellEnd"/>
            <w:r w:rsidRPr="00380275">
              <w:t xml:space="preserve"> </w:t>
            </w:r>
            <w:proofErr w:type="spellStart"/>
            <w:r w:rsidRPr="00380275">
              <w:t>silverspot</w:t>
            </w:r>
            <w:proofErr w:type="spellEnd"/>
            <w:r w:rsidRPr="00380275">
              <w:t xml:space="preserve"> butterfly</w:t>
            </w:r>
          </w:p>
        </w:tc>
        <w:tc>
          <w:tcPr>
            <w:tcW w:w="3690" w:type="dxa"/>
            <w:tcBorders>
              <w:top w:val="nil"/>
              <w:left w:val="nil"/>
              <w:bottom w:val="single" w:sz="8" w:space="0" w:color="auto"/>
              <w:right w:val="single" w:sz="8" w:space="0" w:color="auto"/>
            </w:tcBorders>
            <w:shd w:val="clear" w:color="auto" w:fill="auto"/>
            <w:noWrap/>
          </w:tcPr>
          <w:p w14:paraId="74C6708C" w14:textId="77777777" w:rsidR="00FE4227" w:rsidRPr="00380275" w:rsidRDefault="00FE4227" w:rsidP="00FF5B16">
            <w:pPr>
              <w:pStyle w:val="TableTextL"/>
            </w:pPr>
            <w:r w:rsidRPr="00380275">
              <w:t>blue violet</w:t>
            </w:r>
            <w:r>
              <w:t xml:space="preserve"> (</w:t>
            </w:r>
            <w:r>
              <w:rPr>
                <w:i/>
              </w:rPr>
              <w:t xml:space="preserve">Viola </w:t>
            </w:r>
            <w:proofErr w:type="spellStart"/>
            <w:r>
              <w:rPr>
                <w:i/>
              </w:rPr>
              <w:t>adunca</w:t>
            </w:r>
            <w:proofErr w:type="spellEnd"/>
            <w:r>
              <w:t>)</w:t>
            </w:r>
          </w:p>
        </w:tc>
      </w:tr>
      <w:tr w:rsidR="00FE4227" w14:paraId="6C8E595A" w14:textId="77777777" w:rsidTr="002C6003">
        <w:trPr>
          <w:trHeight w:val="20"/>
        </w:trPr>
        <w:tc>
          <w:tcPr>
            <w:tcW w:w="2070" w:type="dxa"/>
            <w:tcBorders>
              <w:top w:val="nil"/>
              <w:bottom w:val="single" w:sz="8" w:space="0" w:color="auto"/>
              <w:right w:val="single" w:sz="8" w:space="0" w:color="auto"/>
            </w:tcBorders>
            <w:shd w:val="clear" w:color="auto" w:fill="auto"/>
            <w:noWrap/>
          </w:tcPr>
          <w:p w14:paraId="3E6D017F" w14:textId="77777777" w:rsidR="00FE4227" w:rsidRPr="00380275" w:rsidRDefault="00FE4227" w:rsidP="00FF5B16">
            <w:pPr>
              <w:pStyle w:val="TableTextL"/>
              <w:keepNext/>
            </w:pPr>
            <w:proofErr w:type="spellStart"/>
            <w:r w:rsidRPr="00380275">
              <w:t>callippe</w:t>
            </w:r>
            <w:proofErr w:type="spellEnd"/>
            <w:r w:rsidRPr="00380275">
              <w:t xml:space="preserve"> </w:t>
            </w:r>
            <w:proofErr w:type="spellStart"/>
            <w:r w:rsidRPr="00380275">
              <w:t>silverspot</w:t>
            </w:r>
            <w:proofErr w:type="spellEnd"/>
            <w:r w:rsidRPr="00380275">
              <w:t xml:space="preserve"> butterfly</w:t>
            </w:r>
          </w:p>
        </w:tc>
        <w:tc>
          <w:tcPr>
            <w:tcW w:w="3690" w:type="dxa"/>
            <w:tcBorders>
              <w:top w:val="nil"/>
              <w:left w:val="nil"/>
              <w:bottom w:val="single" w:sz="8" w:space="0" w:color="auto"/>
              <w:right w:val="single" w:sz="8" w:space="0" w:color="auto"/>
            </w:tcBorders>
            <w:shd w:val="clear" w:color="auto" w:fill="auto"/>
            <w:noWrap/>
          </w:tcPr>
          <w:p w14:paraId="76DF38AE" w14:textId="77777777" w:rsidR="00FE4227" w:rsidRPr="00380275" w:rsidRDefault="00FE4227" w:rsidP="00FF5B16">
            <w:pPr>
              <w:pStyle w:val="TableTextL"/>
            </w:pPr>
            <w:r w:rsidRPr="00380275">
              <w:t>California golden violet</w:t>
            </w:r>
            <w:r>
              <w:t xml:space="preserve"> (</w:t>
            </w:r>
            <w:r>
              <w:rPr>
                <w:i/>
              </w:rPr>
              <w:t>Viola pedunculata</w:t>
            </w:r>
            <w:r>
              <w:t>)</w:t>
            </w:r>
          </w:p>
        </w:tc>
      </w:tr>
      <w:tr w:rsidR="00FE4227" w14:paraId="7AF65774" w14:textId="77777777" w:rsidTr="002C6003">
        <w:trPr>
          <w:trHeight w:val="20"/>
        </w:trPr>
        <w:tc>
          <w:tcPr>
            <w:tcW w:w="2070" w:type="dxa"/>
            <w:tcBorders>
              <w:top w:val="nil"/>
              <w:bottom w:val="single" w:sz="8" w:space="0" w:color="auto"/>
              <w:right w:val="single" w:sz="8" w:space="0" w:color="auto"/>
            </w:tcBorders>
            <w:shd w:val="clear" w:color="auto" w:fill="auto"/>
            <w:noWrap/>
          </w:tcPr>
          <w:p w14:paraId="2C06D280" w14:textId="77777777" w:rsidR="00FE4227" w:rsidRPr="00380275" w:rsidRDefault="00FE4227" w:rsidP="00FF5B16">
            <w:pPr>
              <w:pStyle w:val="TableTextL"/>
            </w:pPr>
            <w:r w:rsidRPr="00380275">
              <w:t>Carson wandering skipper</w:t>
            </w:r>
          </w:p>
        </w:tc>
        <w:tc>
          <w:tcPr>
            <w:tcW w:w="3690" w:type="dxa"/>
            <w:tcBorders>
              <w:top w:val="nil"/>
              <w:left w:val="nil"/>
              <w:bottom w:val="single" w:sz="8" w:space="0" w:color="auto"/>
              <w:right w:val="single" w:sz="8" w:space="0" w:color="auto"/>
            </w:tcBorders>
            <w:shd w:val="clear" w:color="auto" w:fill="auto"/>
            <w:noWrap/>
          </w:tcPr>
          <w:p w14:paraId="1CC63545" w14:textId="77777777" w:rsidR="00FE4227" w:rsidRPr="00380275" w:rsidRDefault="00FE4227" w:rsidP="00FF5B16">
            <w:pPr>
              <w:pStyle w:val="TableTextL"/>
            </w:pPr>
            <w:r>
              <w:t>s</w:t>
            </w:r>
            <w:r w:rsidRPr="00380275">
              <w:t>alt grass</w:t>
            </w:r>
            <w:r>
              <w:t xml:space="preserve"> (</w:t>
            </w:r>
            <w:proofErr w:type="spellStart"/>
            <w:r>
              <w:rPr>
                <w:i/>
              </w:rPr>
              <w:t>Distichlis</w:t>
            </w:r>
            <w:proofErr w:type="spellEnd"/>
            <w:r>
              <w:rPr>
                <w:i/>
              </w:rPr>
              <w:t xml:space="preserve"> </w:t>
            </w:r>
            <w:proofErr w:type="spellStart"/>
            <w:r>
              <w:rPr>
                <w:i/>
              </w:rPr>
              <w:t>spicata</w:t>
            </w:r>
            <w:proofErr w:type="spellEnd"/>
            <w:r>
              <w:t>)</w:t>
            </w:r>
          </w:p>
        </w:tc>
      </w:tr>
      <w:tr w:rsidR="00FE4227" w14:paraId="7BFAFD6C" w14:textId="77777777" w:rsidTr="002C6003">
        <w:trPr>
          <w:trHeight w:val="20"/>
        </w:trPr>
        <w:tc>
          <w:tcPr>
            <w:tcW w:w="2070" w:type="dxa"/>
            <w:tcBorders>
              <w:top w:val="nil"/>
              <w:bottom w:val="single" w:sz="8" w:space="0" w:color="auto"/>
              <w:right w:val="single" w:sz="8" w:space="0" w:color="auto"/>
            </w:tcBorders>
            <w:shd w:val="clear" w:color="auto" w:fill="auto"/>
            <w:noWrap/>
          </w:tcPr>
          <w:p w14:paraId="5785F09B" w14:textId="77777777" w:rsidR="00FE4227" w:rsidRPr="00380275" w:rsidRDefault="00FE4227" w:rsidP="00FF5B16">
            <w:pPr>
              <w:pStyle w:val="TableTextL"/>
            </w:pPr>
            <w:r w:rsidRPr="00380275">
              <w:t>El Segundo blue butterfly</w:t>
            </w:r>
          </w:p>
        </w:tc>
        <w:tc>
          <w:tcPr>
            <w:tcW w:w="3690" w:type="dxa"/>
            <w:tcBorders>
              <w:top w:val="nil"/>
              <w:left w:val="nil"/>
              <w:bottom w:val="single" w:sz="8" w:space="0" w:color="auto"/>
              <w:right w:val="single" w:sz="8" w:space="0" w:color="auto"/>
            </w:tcBorders>
            <w:shd w:val="clear" w:color="auto" w:fill="auto"/>
            <w:noWrap/>
          </w:tcPr>
          <w:p w14:paraId="486C40B3" w14:textId="77777777" w:rsidR="00FE4227" w:rsidRPr="00380275" w:rsidRDefault="00FE4227" w:rsidP="00FF5B16">
            <w:pPr>
              <w:pStyle w:val="TableTextL"/>
            </w:pPr>
            <w:proofErr w:type="spellStart"/>
            <w:r>
              <w:t>s</w:t>
            </w:r>
            <w:r w:rsidRPr="00380275">
              <w:t>eacliff</w:t>
            </w:r>
            <w:proofErr w:type="spellEnd"/>
            <w:r w:rsidRPr="00380275">
              <w:t xml:space="preserve"> buckwheat</w:t>
            </w:r>
            <w:r>
              <w:t xml:space="preserve"> (</w:t>
            </w:r>
            <w:proofErr w:type="spellStart"/>
            <w:r>
              <w:rPr>
                <w:i/>
              </w:rPr>
              <w:t>Eriogonum</w:t>
            </w:r>
            <w:proofErr w:type="spellEnd"/>
            <w:r>
              <w:rPr>
                <w:i/>
              </w:rPr>
              <w:t xml:space="preserve"> </w:t>
            </w:r>
            <w:proofErr w:type="spellStart"/>
            <w:r>
              <w:rPr>
                <w:i/>
              </w:rPr>
              <w:t>parvifolium</w:t>
            </w:r>
            <w:proofErr w:type="spellEnd"/>
            <w:r>
              <w:t>)</w:t>
            </w:r>
          </w:p>
        </w:tc>
      </w:tr>
      <w:tr w:rsidR="00FE4227" w14:paraId="46FF689E" w14:textId="77777777" w:rsidTr="002C6003">
        <w:trPr>
          <w:trHeight w:val="20"/>
        </w:trPr>
        <w:tc>
          <w:tcPr>
            <w:tcW w:w="2070" w:type="dxa"/>
            <w:tcBorders>
              <w:top w:val="nil"/>
              <w:bottom w:val="single" w:sz="8" w:space="0" w:color="auto"/>
              <w:right w:val="single" w:sz="8" w:space="0" w:color="auto"/>
            </w:tcBorders>
            <w:shd w:val="clear" w:color="auto" w:fill="auto"/>
            <w:noWrap/>
          </w:tcPr>
          <w:p w14:paraId="66D915BD" w14:textId="77777777" w:rsidR="00FE4227" w:rsidRPr="00380275" w:rsidRDefault="00FE4227" w:rsidP="00FF5B16">
            <w:pPr>
              <w:pStyle w:val="TableTextL"/>
            </w:pPr>
            <w:r w:rsidRPr="00380275">
              <w:t>Hermes copper butterfl</w:t>
            </w:r>
            <w:r>
              <w:t>y</w:t>
            </w:r>
          </w:p>
        </w:tc>
        <w:tc>
          <w:tcPr>
            <w:tcW w:w="3690" w:type="dxa"/>
            <w:tcBorders>
              <w:top w:val="nil"/>
              <w:left w:val="nil"/>
              <w:bottom w:val="single" w:sz="8" w:space="0" w:color="auto"/>
              <w:right w:val="single" w:sz="8" w:space="0" w:color="auto"/>
            </w:tcBorders>
            <w:shd w:val="clear" w:color="auto" w:fill="auto"/>
            <w:noWrap/>
          </w:tcPr>
          <w:p w14:paraId="3123D717" w14:textId="77777777" w:rsidR="00FE4227" w:rsidRPr="00380275" w:rsidRDefault="00FE4227" w:rsidP="00FF5B16">
            <w:pPr>
              <w:pStyle w:val="TableTextL"/>
            </w:pPr>
            <w:r>
              <w:t>s</w:t>
            </w:r>
            <w:r w:rsidRPr="00380275">
              <w:t>piny redberry</w:t>
            </w:r>
            <w:r>
              <w:t xml:space="preserve"> (</w:t>
            </w:r>
            <w:proofErr w:type="spellStart"/>
            <w:r>
              <w:rPr>
                <w:i/>
              </w:rPr>
              <w:t>Rhamnus</w:t>
            </w:r>
            <w:proofErr w:type="spellEnd"/>
            <w:r>
              <w:rPr>
                <w:i/>
              </w:rPr>
              <w:t xml:space="preserve"> </w:t>
            </w:r>
            <w:proofErr w:type="spellStart"/>
            <w:r>
              <w:rPr>
                <w:i/>
              </w:rPr>
              <w:t>crocea</w:t>
            </w:r>
            <w:proofErr w:type="spellEnd"/>
            <w:r>
              <w:t>)</w:t>
            </w:r>
          </w:p>
        </w:tc>
      </w:tr>
      <w:tr w:rsidR="00FE4227" w14:paraId="66A9436D" w14:textId="77777777" w:rsidTr="002C6003">
        <w:trPr>
          <w:trHeight w:val="20"/>
        </w:trPr>
        <w:tc>
          <w:tcPr>
            <w:tcW w:w="2070" w:type="dxa"/>
            <w:tcBorders>
              <w:top w:val="nil"/>
              <w:bottom w:val="single" w:sz="8" w:space="0" w:color="auto"/>
              <w:right w:val="single" w:sz="8" w:space="0" w:color="auto"/>
            </w:tcBorders>
            <w:shd w:val="clear" w:color="auto" w:fill="auto"/>
            <w:noWrap/>
          </w:tcPr>
          <w:p w14:paraId="4F5D5861" w14:textId="77777777" w:rsidR="00FE4227" w:rsidRPr="00380275" w:rsidRDefault="00FE4227" w:rsidP="00FF5B16">
            <w:pPr>
              <w:pStyle w:val="TableTextL"/>
            </w:pPr>
            <w:r w:rsidRPr="00380275">
              <w:t>Kern primrose sphinx moth</w:t>
            </w:r>
          </w:p>
        </w:tc>
        <w:tc>
          <w:tcPr>
            <w:tcW w:w="3690" w:type="dxa"/>
            <w:tcBorders>
              <w:top w:val="nil"/>
              <w:left w:val="nil"/>
              <w:bottom w:val="single" w:sz="8" w:space="0" w:color="auto"/>
              <w:right w:val="single" w:sz="8" w:space="0" w:color="auto"/>
            </w:tcBorders>
            <w:shd w:val="clear" w:color="auto" w:fill="auto"/>
            <w:noWrap/>
          </w:tcPr>
          <w:p w14:paraId="4B14590E" w14:textId="77777777" w:rsidR="00FE4227" w:rsidRPr="00380275" w:rsidRDefault="00FE4227" w:rsidP="00FF5B16">
            <w:pPr>
              <w:pStyle w:val="TableTextL"/>
            </w:pPr>
            <w:r w:rsidRPr="00380275">
              <w:t>plains evening-primrose</w:t>
            </w:r>
            <w:r>
              <w:t xml:space="preserve"> (</w:t>
            </w:r>
            <w:proofErr w:type="spellStart"/>
            <w:r>
              <w:rPr>
                <w:i/>
              </w:rPr>
              <w:t>Camissonia</w:t>
            </w:r>
            <w:proofErr w:type="spellEnd"/>
            <w:r>
              <w:rPr>
                <w:i/>
              </w:rPr>
              <w:t xml:space="preserve"> </w:t>
            </w:r>
            <w:proofErr w:type="spellStart"/>
            <w:r>
              <w:rPr>
                <w:i/>
              </w:rPr>
              <w:t>contorta</w:t>
            </w:r>
            <w:proofErr w:type="spellEnd"/>
            <w:r>
              <w:t>), field primrose (</w:t>
            </w:r>
            <w:proofErr w:type="spellStart"/>
            <w:r>
              <w:rPr>
                <w:i/>
              </w:rPr>
              <w:t>Camissonia</w:t>
            </w:r>
            <w:proofErr w:type="spellEnd"/>
            <w:r>
              <w:rPr>
                <w:i/>
              </w:rPr>
              <w:t xml:space="preserve"> </w:t>
            </w:r>
            <w:proofErr w:type="spellStart"/>
            <w:r>
              <w:rPr>
                <w:i/>
              </w:rPr>
              <w:t>campestris</w:t>
            </w:r>
            <w:proofErr w:type="spellEnd"/>
            <w:r>
              <w:t>)</w:t>
            </w:r>
          </w:p>
        </w:tc>
      </w:tr>
      <w:tr w:rsidR="00FE4227" w14:paraId="3620FF10" w14:textId="77777777" w:rsidTr="002C6003">
        <w:trPr>
          <w:trHeight w:val="20"/>
        </w:trPr>
        <w:tc>
          <w:tcPr>
            <w:tcW w:w="2070" w:type="dxa"/>
            <w:tcBorders>
              <w:top w:val="nil"/>
              <w:bottom w:val="single" w:sz="8" w:space="0" w:color="auto"/>
              <w:right w:val="single" w:sz="8" w:space="0" w:color="auto"/>
            </w:tcBorders>
            <w:shd w:val="clear" w:color="auto" w:fill="auto"/>
            <w:noWrap/>
          </w:tcPr>
          <w:p w14:paraId="068CA888" w14:textId="77777777" w:rsidR="00FE4227" w:rsidRPr="00380275" w:rsidRDefault="00FE4227" w:rsidP="00FF5B16">
            <w:pPr>
              <w:pStyle w:val="TableTextL"/>
            </w:pPr>
            <w:r w:rsidRPr="00380275">
              <w:t>Laguna Mountains skipper</w:t>
            </w:r>
          </w:p>
        </w:tc>
        <w:tc>
          <w:tcPr>
            <w:tcW w:w="3690" w:type="dxa"/>
            <w:tcBorders>
              <w:top w:val="nil"/>
              <w:left w:val="nil"/>
              <w:bottom w:val="single" w:sz="8" w:space="0" w:color="auto"/>
              <w:right w:val="single" w:sz="8" w:space="0" w:color="auto"/>
            </w:tcBorders>
            <w:shd w:val="clear" w:color="auto" w:fill="auto"/>
            <w:noWrap/>
          </w:tcPr>
          <w:p w14:paraId="5D2A2D84" w14:textId="77777777" w:rsidR="00FE4227" w:rsidRPr="00380275" w:rsidRDefault="00FE4227" w:rsidP="00FF5B16">
            <w:pPr>
              <w:pStyle w:val="TableTextL"/>
            </w:pPr>
            <w:r w:rsidRPr="00380275">
              <w:t>Cleveland</w:t>
            </w:r>
            <w:r>
              <w:t>’</w:t>
            </w:r>
            <w:r w:rsidRPr="00380275">
              <w:t xml:space="preserve">s </w:t>
            </w:r>
            <w:proofErr w:type="spellStart"/>
            <w:r w:rsidRPr="00380275">
              <w:t>horkelia</w:t>
            </w:r>
            <w:proofErr w:type="spellEnd"/>
            <w:r>
              <w:t xml:space="preserve"> (</w:t>
            </w:r>
            <w:proofErr w:type="spellStart"/>
            <w:r>
              <w:rPr>
                <w:i/>
              </w:rPr>
              <w:t>Horkelia</w:t>
            </w:r>
            <w:proofErr w:type="spellEnd"/>
            <w:r>
              <w:rPr>
                <w:i/>
              </w:rPr>
              <w:t xml:space="preserve"> </w:t>
            </w:r>
            <w:proofErr w:type="spellStart"/>
            <w:r>
              <w:rPr>
                <w:i/>
              </w:rPr>
              <w:t>clevelandii</w:t>
            </w:r>
            <w:proofErr w:type="spellEnd"/>
            <w:r>
              <w:t xml:space="preserve">), </w:t>
            </w:r>
            <w:r w:rsidRPr="00380275">
              <w:t>sticky cinquefoil</w:t>
            </w:r>
            <w:r>
              <w:t xml:space="preserve"> (</w:t>
            </w:r>
            <w:proofErr w:type="spellStart"/>
            <w:r>
              <w:rPr>
                <w:i/>
              </w:rPr>
              <w:t>Drymocallis</w:t>
            </w:r>
            <w:proofErr w:type="spellEnd"/>
            <w:r>
              <w:rPr>
                <w:i/>
              </w:rPr>
              <w:t xml:space="preserve"> </w:t>
            </w:r>
            <w:proofErr w:type="spellStart"/>
            <w:r>
              <w:rPr>
                <w:i/>
              </w:rPr>
              <w:t>glandulosa</w:t>
            </w:r>
            <w:proofErr w:type="spellEnd"/>
            <w:r>
              <w:t>)</w:t>
            </w:r>
          </w:p>
        </w:tc>
      </w:tr>
      <w:tr w:rsidR="00FE4227" w14:paraId="1E0F9520" w14:textId="77777777" w:rsidTr="002C6003">
        <w:trPr>
          <w:trHeight w:val="20"/>
        </w:trPr>
        <w:tc>
          <w:tcPr>
            <w:tcW w:w="2070" w:type="dxa"/>
            <w:tcBorders>
              <w:top w:val="nil"/>
              <w:bottom w:val="single" w:sz="8" w:space="0" w:color="auto"/>
              <w:right w:val="single" w:sz="8" w:space="0" w:color="auto"/>
            </w:tcBorders>
            <w:shd w:val="clear" w:color="auto" w:fill="auto"/>
            <w:noWrap/>
          </w:tcPr>
          <w:p w14:paraId="2AE5E80C" w14:textId="77777777" w:rsidR="00FE4227" w:rsidRPr="00380275" w:rsidRDefault="00FE4227" w:rsidP="00FF5B16">
            <w:pPr>
              <w:pStyle w:val="TableTextL"/>
            </w:pPr>
            <w:r w:rsidRPr="00380275">
              <w:t>Lange</w:t>
            </w:r>
            <w:r>
              <w:t>’</w:t>
            </w:r>
            <w:r w:rsidRPr="00380275">
              <w:t>s metalmark butterfly</w:t>
            </w:r>
          </w:p>
        </w:tc>
        <w:tc>
          <w:tcPr>
            <w:tcW w:w="3690" w:type="dxa"/>
            <w:tcBorders>
              <w:top w:val="nil"/>
              <w:left w:val="nil"/>
              <w:bottom w:val="single" w:sz="8" w:space="0" w:color="auto"/>
              <w:right w:val="single" w:sz="8" w:space="0" w:color="auto"/>
            </w:tcBorders>
            <w:shd w:val="clear" w:color="auto" w:fill="auto"/>
            <w:noWrap/>
          </w:tcPr>
          <w:p w14:paraId="5103E907" w14:textId="77777777" w:rsidR="00FE4227" w:rsidRPr="00380275" w:rsidRDefault="00FE4227" w:rsidP="00FF5B16">
            <w:pPr>
              <w:pStyle w:val="TableTextL"/>
            </w:pPr>
            <w:r>
              <w:t>n</w:t>
            </w:r>
            <w:r w:rsidRPr="00380275">
              <w:t>aked-stemmed buckwheat</w:t>
            </w:r>
            <w:r>
              <w:t xml:space="preserve"> (</w:t>
            </w:r>
            <w:proofErr w:type="spellStart"/>
            <w:r>
              <w:rPr>
                <w:i/>
              </w:rPr>
              <w:t>Eriogonum</w:t>
            </w:r>
            <w:proofErr w:type="spellEnd"/>
            <w:r>
              <w:rPr>
                <w:i/>
              </w:rPr>
              <w:t xml:space="preserve"> </w:t>
            </w:r>
            <w:proofErr w:type="spellStart"/>
            <w:r>
              <w:rPr>
                <w:i/>
              </w:rPr>
              <w:t>nudum</w:t>
            </w:r>
            <w:proofErr w:type="spellEnd"/>
            <w:r>
              <w:t>)</w:t>
            </w:r>
          </w:p>
        </w:tc>
      </w:tr>
      <w:tr w:rsidR="00FE4227" w14:paraId="37E63EE0" w14:textId="77777777" w:rsidTr="002C6003">
        <w:trPr>
          <w:trHeight w:val="20"/>
        </w:trPr>
        <w:tc>
          <w:tcPr>
            <w:tcW w:w="2070" w:type="dxa"/>
            <w:tcBorders>
              <w:top w:val="nil"/>
              <w:bottom w:val="single" w:sz="8" w:space="0" w:color="auto"/>
              <w:right w:val="single" w:sz="8" w:space="0" w:color="auto"/>
            </w:tcBorders>
            <w:shd w:val="clear" w:color="auto" w:fill="auto"/>
            <w:noWrap/>
          </w:tcPr>
          <w:p w14:paraId="56D8AF76" w14:textId="77777777" w:rsidR="00FE4227" w:rsidRPr="00380275" w:rsidRDefault="00FE4227" w:rsidP="00FF5B16">
            <w:pPr>
              <w:pStyle w:val="TableTextL"/>
            </w:pPr>
            <w:proofErr w:type="spellStart"/>
            <w:r w:rsidRPr="00380275">
              <w:t>lotis</w:t>
            </w:r>
            <w:proofErr w:type="spellEnd"/>
            <w:r w:rsidRPr="00380275">
              <w:t xml:space="preserve"> blue butterfly</w:t>
            </w:r>
          </w:p>
        </w:tc>
        <w:tc>
          <w:tcPr>
            <w:tcW w:w="3690" w:type="dxa"/>
            <w:tcBorders>
              <w:top w:val="nil"/>
              <w:left w:val="nil"/>
              <w:bottom w:val="single" w:sz="8" w:space="0" w:color="auto"/>
              <w:right w:val="single" w:sz="8" w:space="0" w:color="auto"/>
            </w:tcBorders>
            <w:shd w:val="clear" w:color="auto" w:fill="auto"/>
            <w:noWrap/>
          </w:tcPr>
          <w:p w14:paraId="51D01C9B" w14:textId="77777777" w:rsidR="00FE4227" w:rsidRPr="00380275" w:rsidRDefault="00FE4227" w:rsidP="00FF5B16">
            <w:pPr>
              <w:pStyle w:val="TableTextL"/>
            </w:pPr>
            <w:r w:rsidRPr="00380275">
              <w:t>seaside bird</w:t>
            </w:r>
            <w:r>
              <w:t>’</w:t>
            </w:r>
            <w:r w:rsidRPr="00380275">
              <w:t>s foot trefoil</w:t>
            </w:r>
            <w:r>
              <w:t xml:space="preserve"> (</w:t>
            </w:r>
            <w:proofErr w:type="spellStart"/>
            <w:r>
              <w:rPr>
                <w:i/>
              </w:rPr>
              <w:t>Hosackia</w:t>
            </w:r>
            <w:proofErr w:type="spellEnd"/>
            <w:r>
              <w:rPr>
                <w:i/>
              </w:rPr>
              <w:t xml:space="preserve"> </w:t>
            </w:r>
            <w:proofErr w:type="spellStart"/>
            <w:r>
              <w:rPr>
                <w:i/>
              </w:rPr>
              <w:t>gracilis</w:t>
            </w:r>
            <w:proofErr w:type="spellEnd"/>
            <w:r>
              <w:t>)</w:t>
            </w:r>
          </w:p>
        </w:tc>
      </w:tr>
      <w:tr w:rsidR="00FE4227" w14:paraId="3F0AD8E5" w14:textId="77777777" w:rsidTr="002C6003">
        <w:trPr>
          <w:trHeight w:val="20"/>
        </w:trPr>
        <w:tc>
          <w:tcPr>
            <w:tcW w:w="2070" w:type="dxa"/>
            <w:tcBorders>
              <w:top w:val="nil"/>
              <w:bottom w:val="single" w:sz="8" w:space="0" w:color="auto"/>
              <w:right w:val="single" w:sz="8" w:space="0" w:color="auto"/>
            </w:tcBorders>
            <w:shd w:val="clear" w:color="auto" w:fill="auto"/>
            <w:noWrap/>
          </w:tcPr>
          <w:p w14:paraId="1706E5AE" w14:textId="77777777" w:rsidR="00FE4227" w:rsidRPr="00380275" w:rsidRDefault="00FE4227" w:rsidP="00FF5B16">
            <w:pPr>
              <w:pStyle w:val="TableTextL"/>
            </w:pPr>
            <w:r w:rsidRPr="00380275">
              <w:t>Mission blue butterfly</w:t>
            </w:r>
          </w:p>
        </w:tc>
        <w:tc>
          <w:tcPr>
            <w:tcW w:w="3690" w:type="dxa"/>
            <w:tcBorders>
              <w:top w:val="nil"/>
              <w:left w:val="nil"/>
              <w:bottom w:val="single" w:sz="8" w:space="0" w:color="auto"/>
              <w:right w:val="single" w:sz="8" w:space="0" w:color="auto"/>
            </w:tcBorders>
            <w:shd w:val="clear" w:color="auto" w:fill="auto"/>
            <w:noWrap/>
          </w:tcPr>
          <w:p w14:paraId="7EA5F091" w14:textId="77777777" w:rsidR="00FE4227" w:rsidRPr="00380275" w:rsidRDefault="00FE4227" w:rsidP="00FF5B16">
            <w:pPr>
              <w:pStyle w:val="TableTextL"/>
            </w:pPr>
            <w:r>
              <w:t>lupine (</w:t>
            </w:r>
            <w:proofErr w:type="spellStart"/>
            <w:r w:rsidRPr="00B300B5">
              <w:rPr>
                <w:i/>
              </w:rPr>
              <w:t>Lupinus</w:t>
            </w:r>
            <w:proofErr w:type="spellEnd"/>
            <w:r>
              <w:t xml:space="preserve"> spp.)</w:t>
            </w:r>
          </w:p>
        </w:tc>
      </w:tr>
      <w:tr w:rsidR="00FE4227" w14:paraId="1311D339" w14:textId="77777777" w:rsidTr="002C6003">
        <w:trPr>
          <w:trHeight w:val="20"/>
        </w:trPr>
        <w:tc>
          <w:tcPr>
            <w:tcW w:w="2070" w:type="dxa"/>
            <w:tcBorders>
              <w:top w:val="nil"/>
              <w:bottom w:val="single" w:sz="8" w:space="0" w:color="auto"/>
              <w:right w:val="single" w:sz="8" w:space="0" w:color="auto"/>
            </w:tcBorders>
            <w:shd w:val="clear" w:color="auto" w:fill="auto"/>
            <w:noWrap/>
          </w:tcPr>
          <w:p w14:paraId="1E2FAA87" w14:textId="77777777" w:rsidR="00FE4227" w:rsidRPr="00380275" w:rsidRDefault="00FE4227" w:rsidP="00FF5B16">
            <w:pPr>
              <w:pStyle w:val="TableTextL"/>
            </w:pPr>
            <w:r w:rsidRPr="00380275">
              <w:t>Myrtle</w:t>
            </w:r>
            <w:r>
              <w:t>’</w:t>
            </w:r>
            <w:r w:rsidRPr="00380275">
              <w:t xml:space="preserve">s </w:t>
            </w:r>
            <w:proofErr w:type="spellStart"/>
            <w:r w:rsidRPr="00380275">
              <w:t>silverspot</w:t>
            </w:r>
            <w:proofErr w:type="spellEnd"/>
            <w:r w:rsidRPr="00380275">
              <w:t xml:space="preserve"> butterfly</w:t>
            </w:r>
          </w:p>
        </w:tc>
        <w:tc>
          <w:tcPr>
            <w:tcW w:w="3690" w:type="dxa"/>
            <w:tcBorders>
              <w:top w:val="nil"/>
              <w:left w:val="nil"/>
              <w:bottom w:val="single" w:sz="8" w:space="0" w:color="auto"/>
              <w:right w:val="single" w:sz="8" w:space="0" w:color="auto"/>
            </w:tcBorders>
            <w:shd w:val="clear" w:color="auto" w:fill="auto"/>
            <w:noWrap/>
          </w:tcPr>
          <w:p w14:paraId="25ADAEA6" w14:textId="77777777" w:rsidR="00FE4227" w:rsidRPr="00380275" w:rsidRDefault="00FE4227" w:rsidP="00FF5B16">
            <w:pPr>
              <w:pStyle w:val="TableTextL"/>
            </w:pPr>
            <w:r w:rsidRPr="00380275">
              <w:t>blue violet</w:t>
            </w:r>
          </w:p>
        </w:tc>
      </w:tr>
      <w:tr w:rsidR="00FE4227" w14:paraId="6A91E60D" w14:textId="77777777" w:rsidTr="002C6003">
        <w:trPr>
          <w:trHeight w:val="20"/>
        </w:trPr>
        <w:tc>
          <w:tcPr>
            <w:tcW w:w="2070" w:type="dxa"/>
            <w:tcBorders>
              <w:top w:val="nil"/>
              <w:bottom w:val="single" w:sz="8" w:space="0" w:color="auto"/>
              <w:right w:val="single" w:sz="8" w:space="0" w:color="auto"/>
            </w:tcBorders>
            <w:shd w:val="clear" w:color="auto" w:fill="auto"/>
            <w:noWrap/>
          </w:tcPr>
          <w:p w14:paraId="2DE0FF09" w14:textId="77777777" w:rsidR="00FE4227" w:rsidRPr="00380275" w:rsidRDefault="00FE4227" w:rsidP="00FF5B16">
            <w:pPr>
              <w:pStyle w:val="TableTextL"/>
            </w:pPr>
            <w:r w:rsidRPr="00380275">
              <w:t xml:space="preserve">Oregon </w:t>
            </w:r>
            <w:proofErr w:type="spellStart"/>
            <w:r w:rsidRPr="00380275">
              <w:t>silverspot</w:t>
            </w:r>
            <w:proofErr w:type="spellEnd"/>
            <w:r w:rsidRPr="00380275">
              <w:t xml:space="preserve"> butterfly</w:t>
            </w:r>
          </w:p>
        </w:tc>
        <w:tc>
          <w:tcPr>
            <w:tcW w:w="3690" w:type="dxa"/>
            <w:tcBorders>
              <w:top w:val="nil"/>
              <w:left w:val="nil"/>
              <w:bottom w:val="single" w:sz="8" w:space="0" w:color="auto"/>
              <w:right w:val="single" w:sz="8" w:space="0" w:color="auto"/>
            </w:tcBorders>
            <w:shd w:val="clear" w:color="auto" w:fill="auto"/>
            <w:noWrap/>
          </w:tcPr>
          <w:p w14:paraId="2BA4C121" w14:textId="77777777" w:rsidR="00FE4227" w:rsidRPr="00380275" w:rsidRDefault="00FE4227" w:rsidP="00FF5B16">
            <w:pPr>
              <w:pStyle w:val="TableTextL"/>
            </w:pPr>
            <w:r w:rsidRPr="00380275">
              <w:t>blue violet</w:t>
            </w:r>
          </w:p>
        </w:tc>
      </w:tr>
      <w:tr w:rsidR="00FE4227" w14:paraId="45A0D03D" w14:textId="77777777" w:rsidTr="002C6003">
        <w:trPr>
          <w:trHeight w:val="20"/>
        </w:trPr>
        <w:tc>
          <w:tcPr>
            <w:tcW w:w="2070" w:type="dxa"/>
            <w:tcBorders>
              <w:top w:val="nil"/>
              <w:bottom w:val="single" w:sz="8" w:space="0" w:color="auto"/>
              <w:right w:val="single" w:sz="8" w:space="0" w:color="auto"/>
            </w:tcBorders>
            <w:shd w:val="clear" w:color="auto" w:fill="auto"/>
            <w:noWrap/>
          </w:tcPr>
          <w:p w14:paraId="7A338378" w14:textId="77777777" w:rsidR="00FE4227" w:rsidRPr="00380275" w:rsidRDefault="00FE4227" w:rsidP="00FF5B16">
            <w:pPr>
              <w:pStyle w:val="TableTextL"/>
            </w:pPr>
            <w:r w:rsidRPr="00380275">
              <w:t>Palos Verdes blue butterfly</w:t>
            </w:r>
          </w:p>
        </w:tc>
        <w:tc>
          <w:tcPr>
            <w:tcW w:w="3690" w:type="dxa"/>
            <w:tcBorders>
              <w:top w:val="nil"/>
              <w:left w:val="nil"/>
              <w:bottom w:val="single" w:sz="8" w:space="0" w:color="auto"/>
              <w:right w:val="single" w:sz="8" w:space="0" w:color="auto"/>
            </w:tcBorders>
            <w:shd w:val="clear" w:color="auto" w:fill="auto"/>
            <w:noWrap/>
          </w:tcPr>
          <w:p w14:paraId="25479160" w14:textId="77777777" w:rsidR="00FE4227" w:rsidRPr="007C1E62" w:rsidRDefault="00FE4227" w:rsidP="00FF5B16">
            <w:pPr>
              <w:pStyle w:val="TableTextL"/>
            </w:pPr>
            <w:r w:rsidRPr="007C1E62">
              <w:t>Santa Barbara milkvetch (</w:t>
            </w:r>
            <w:proofErr w:type="spellStart"/>
            <w:r w:rsidRPr="007C1E62">
              <w:rPr>
                <w:i/>
              </w:rPr>
              <w:t>Astragalus</w:t>
            </w:r>
            <w:proofErr w:type="spellEnd"/>
            <w:r w:rsidRPr="007C1E62">
              <w:rPr>
                <w:i/>
              </w:rPr>
              <w:t xml:space="preserve"> </w:t>
            </w:r>
            <w:proofErr w:type="spellStart"/>
            <w:r w:rsidRPr="007C1E62">
              <w:rPr>
                <w:i/>
              </w:rPr>
              <w:t>trichopodus</w:t>
            </w:r>
            <w:proofErr w:type="spellEnd"/>
            <w:r w:rsidRPr="007C1E62">
              <w:t xml:space="preserve">), common </w:t>
            </w:r>
            <w:proofErr w:type="spellStart"/>
            <w:r w:rsidRPr="007C1E62">
              <w:t>deerweed</w:t>
            </w:r>
            <w:proofErr w:type="spellEnd"/>
            <w:r w:rsidRPr="007C1E62">
              <w:t xml:space="preserve"> (</w:t>
            </w:r>
            <w:proofErr w:type="spellStart"/>
            <w:r w:rsidRPr="007C1E62">
              <w:rPr>
                <w:i/>
              </w:rPr>
              <w:t>Acmispon</w:t>
            </w:r>
            <w:proofErr w:type="spellEnd"/>
            <w:r w:rsidRPr="007C1E62">
              <w:rPr>
                <w:i/>
              </w:rPr>
              <w:t xml:space="preserve"> </w:t>
            </w:r>
            <w:proofErr w:type="spellStart"/>
            <w:r w:rsidRPr="007C1E62">
              <w:rPr>
                <w:i/>
              </w:rPr>
              <w:t>glaber</w:t>
            </w:r>
            <w:proofErr w:type="spellEnd"/>
            <w:r w:rsidRPr="007C1E62">
              <w:t>)</w:t>
            </w:r>
          </w:p>
        </w:tc>
      </w:tr>
      <w:tr w:rsidR="00FE4227" w14:paraId="3D633F3C" w14:textId="77777777" w:rsidTr="002C6003">
        <w:trPr>
          <w:trHeight w:val="20"/>
        </w:trPr>
        <w:tc>
          <w:tcPr>
            <w:tcW w:w="2070" w:type="dxa"/>
            <w:tcBorders>
              <w:top w:val="nil"/>
              <w:bottom w:val="single" w:sz="8" w:space="0" w:color="auto"/>
              <w:right w:val="single" w:sz="8" w:space="0" w:color="auto"/>
            </w:tcBorders>
            <w:shd w:val="clear" w:color="auto" w:fill="auto"/>
            <w:noWrap/>
          </w:tcPr>
          <w:p w14:paraId="45618F20" w14:textId="77777777" w:rsidR="00FE4227" w:rsidRPr="00380275" w:rsidRDefault="00FE4227" w:rsidP="00FF5B16">
            <w:pPr>
              <w:pStyle w:val="TableTextL"/>
            </w:pPr>
            <w:r w:rsidRPr="00380275">
              <w:t>San Bruno elfin butterfly</w:t>
            </w:r>
          </w:p>
        </w:tc>
        <w:tc>
          <w:tcPr>
            <w:tcW w:w="3690" w:type="dxa"/>
            <w:tcBorders>
              <w:top w:val="nil"/>
              <w:left w:val="nil"/>
              <w:bottom w:val="single" w:sz="8" w:space="0" w:color="auto"/>
              <w:right w:val="single" w:sz="8" w:space="0" w:color="auto"/>
            </w:tcBorders>
            <w:shd w:val="clear" w:color="auto" w:fill="auto"/>
            <w:noWrap/>
          </w:tcPr>
          <w:p w14:paraId="4ABC85BB" w14:textId="77777777" w:rsidR="00FE4227" w:rsidRPr="00380275" w:rsidRDefault="00FE4227" w:rsidP="00FF5B16">
            <w:pPr>
              <w:pStyle w:val="TableTextL"/>
            </w:pPr>
            <w:r>
              <w:t>b</w:t>
            </w:r>
            <w:r w:rsidRPr="00380275">
              <w:t>roadleaf stonecrop</w:t>
            </w:r>
            <w:r>
              <w:t xml:space="preserve"> (</w:t>
            </w:r>
            <w:r>
              <w:rPr>
                <w:i/>
              </w:rPr>
              <w:t xml:space="preserve">Sedum </w:t>
            </w:r>
            <w:proofErr w:type="spellStart"/>
            <w:r>
              <w:rPr>
                <w:i/>
              </w:rPr>
              <w:t>spathulifolium</w:t>
            </w:r>
            <w:proofErr w:type="spellEnd"/>
            <w:r>
              <w:t>)</w:t>
            </w:r>
            <w:r w:rsidRPr="00380275">
              <w:t xml:space="preserve">, </w:t>
            </w:r>
            <w:r>
              <w:t>manzanita (</w:t>
            </w:r>
            <w:proofErr w:type="spellStart"/>
            <w:r w:rsidRPr="00B300B5">
              <w:rPr>
                <w:i/>
              </w:rPr>
              <w:t>Arctostaphylos</w:t>
            </w:r>
            <w:proofErr w:type="spellEnd"/>
            <w:r>
              <w:t xml:space="preserve"> spp.)</w:t>
            </w:r>
            <w:r w:rsidRPr="00380275">
              <w:t>, huckleberry</w:t>
            </w:r>
            <w:r>
              <w:t xml:space="preserve"> (</w:t>
            </w:r>
            <w:proofErr w:type="spellStart"/>
            <w:r>
              <w:rPr>
                <w:i/>
              </w:rPr>
              <w:t>Vaccinuum</w:t>
            </w:r>
            <w:proofErr w:type="spellEnd"/>
            <w:r>
              <w:t xml:space="preserve"> spp.)</w:t>
            </w:r>
          </w:p>
        </w:tc>
      </w:tr>
      <w:tr w:rsidR="00FE4227" w14:paraId="7EF25699" w14:textId="77777777" w:rsidTr="002C6003">
        <w:trPr>
          <w:trHeight w:val="20"/>
        </w:trPr>
        <w:tc>
          <w:tcPr>
            <w:tcW w:w="2070" w:type="dxa"/>
            <w:tcBorders>
              <w:top w:val="nil"/>
              <w:bottom w:val="single" w:sz="8" w:space="0" w:color="auto"/>
              <w:right w:val="single" w:sz="8" w:space="0" w:color="auto"/>
            </w:tcBorders>
            <w:shd w:val="clear" w:color="auto" w:fill="auto"/>
            <w:noWrap/>
          </w:tcPr>
          <w:p w14:paraId="237DB4A5" w14:textId="77777777" w:rsidR="00FE4227" w:rsidRPr="00380275" w:rsidRDefault="00FE4227" w:rsidP="00FF5B16">
            <w:pPr>
              <w:pStyle w:val="TableTextL"/>
            </w:pPr>
            <w:r w:rsidRPr="00380275">
              <w:t>Smith</w:t>
            </w:r>
            <w:r>
              <w:t>’</w:t>
            </w:r>
            <w:r w:rsidRPr="00380275">
              <w:t>s blue butterfly</w:t>
            </w:r>
          </w:p>
        </w:tc>
        <w:tc>
          <w:tcPr>
            <w:tcW w:w="3690" w:type="dxa"/>
            <w:tcBorders>
              <w:top w:val="nil"/>
              <w:left w:val="nil"/>
              <w:bottom w:val="single" w:sz="8" w:space="0" w:color="auto"/>
              <w:right w:val="single" w:sz="8" w:space="0" w:color="auto"/>
            </w:tcBorders>
            <w:shd w:val="clear" w:color="auto" w:fill="auto"/>
            <w:noWrap/>
          </w:tcPr>
          <w:p w14:paraId="2887DB3C" w14:textId="77777777" w:rsidR="00FE4227" w:rsidRPr="00380275" w:rsidRDefault="00FE4227" w:rsidP="00FF5B16">
            <w:pPr>
              <w:pStyle w:val="TableTextL"/>
            </w:pPr>
            <w:proofErr w:type="spellStart"/>
            <w:r>
              <w:t>s</w:t>
            </w:r>
            <w:r w:rsidRPr="00380275">
              <w:t>eacliff</w:t>
            </w:r>
            <w:proofErr w:type="spellEnd"/>
            <w:r w:rsidRPr="00380275">
              <w:t xml:space="preserve"> buckwheat</w:t>
            </w:r>
            <w:r>
              <w:t xml:space="preserve">, </w:t>
            </w:r>
            <w:r w:rsidRPr="00380275">
              <w:t>seaside buckwheat</w:t>
            </w:r>
            <w:r>
              <w:t xml:space="preserve"> (</w:t>
            </w:r>
            <w:proofErr w:type="spellStart"/>
            <w:r>
              <w:rPr>
                <w:i/>
              </w:rPr>
              <w:t>Eriogonum</w:t>
            </w:r>
            <w:proofErr w:type="spellEnd"/>
            <w:r>
              <w:rPr>
                <w:i/>
              </w:rPr>
              <w:t xml:space="preserve"> </w:t>
            </w:r>
            <w:proofErr w:type="spellStart"/>
            <w:r>
              <w:rPr>
                <w:i/>
              </w:rPr>
              <w:t>latifolium</w:t>
            </w:r>
            <w:proofErr w:type="spellEnd"/>
            <w:r>
              <w:t>)</w:t>
            </w:r>
          </w:p>
        </w:tc>
      </w:tr>
      <w:tr w:rsidR="00FE4227" w14:paraId="2BA68965" w14:textId="77777777" w:rsidTr="002C6003">
        <w:trPr>
          <w:trHeight w:val="20"/>
        </w:trPr>
        <w:tc>
          <w:tcPr>
            <w:tcW w:w="2070" w:type="dxa"/>
            <w:tcBorders>
              <w:top w:val="nil"/>
              <w:bottom w:val="single" w:sz="4" w:space="0" w:color="auto"/>
              <w:right w:val="single" w:sz="8" w:space="0" w:color="auto"/>
            </w:tcBorders>
            <w:shd w:val="clear" w:color="auto" w:fill="auto"/>
            <w:noWrap/>
          </w:tcPr>
          <w:p w14:paraId="31F12890" w14:textId="77777777" w:rsidR="00FE4227" w:rsidRPr="00380275" w:rsidRDefault="00FE4227" w:rsidP="00FF5B16">
            <w:pPr>
              <w:pStyle w:val="TableTextL"/>
            </w:pPr>
            <w:proofErr w:type="spellStart"/>
            <w:r>
              <w:t>Q</w:t>
            </w:r>
            <w:r w:rsidRPr="00380275">
              <w:t>uino</w:t>
            </w:r>
            <w:proofErr w:type="spellEnd"/>
            <w:r w:rsidRPr="00380275">
              <w:t xml:space="preserve"> </w:t>
            </w:r>
            <w:proofErr w:type="spellStart"/>
            <w:r w:rsidRPr="00380275">
              <w:t>checkerspot</w:t>
            </w:r>
            <w:proofErr w:type="spellEnd"/>
            <w:r w:rsidRPr="00380275">
              <w:t xml:space="preserve"> butterfly</w:t>
            </w:r>
          </w:p>
        </w:tc>
        <w:tc>
          <w:tcPr>
            <w:tcW w:w="3690" w:type="dxa"/>
            <w:tcBorders>
              <w:top w:val="nil"/>
              <w:left w:val="nil"/>
              <w:bottom w:val="single" w:sz="4" w:space="0" w:color="auto"/>
              <w:right w:val="single" w:sz="8" w:space="0" w:color="auto"/>
            </w:tcBorders>
            <w:shd w:val="clear" w:color="auto" w:fill="auto"/>
            <w:noWrap/>
          </w:tcPr>
          <w:p w14:paraId="0BADF542" w14:textId="77777777" w:rsidR="00FE4227" w:rsidRPr="00380275" w:rsidRDefault="00FE4227" w:rsidP="00FF5B16">
            <w:pPr>
              <w:pStyle w:val="TableTextL"/>
            </w:pPr>
            <w:r>
              <w:t>d</w:t>
            </w:r>
            <w:r w:rsidRPr="00380275">
              <w:t>warf plantain</w:t>
            </w:r>
            <w:r>
              <w:t>,</w:t>
            </w:r>
            <w:r w:rsidRPr="00380275">
              <w:t xml:space="preserve"> purple owl</w:t>
            </w:r>
            <w:r>
              <w:t>’</w:t>
            </w:r>
            <w:r w:rsidRPr="00380275">
              <w:t>s clover</w:t>
            </w:r>
          </w:p>
        </w:tc>
      </w:tr>
    </w:tbl>
    <w:p w14:paraId="323666DD" w14:textId="77777777" w:rsidR="00FE4227" w:rsidRDefault="00FE4227"/>
    <w:tbl>
      <w:tblPr>
        <w:tblW w:w="13680" w:type="dxa"/>
        <w:jc w:val="center"/>
        <w:tblBorders>
          <w:bottom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5856"/>
        <w:gridCol w:w="993"/>
        <w:gridCol w:w="5893"/>
        <w:gridCol w:w="938"/>
      </w:tblGrid>
      <w:tr w:rsidR="0077614F" w:rsidRPr="00926491" w14:paraId="56547CDD" w14:textId="77777777" w:rsidTr="009B3F06">
        <w:trPr>
          <w:tblHeader/>
          <w:jc w:val="center"/>
        </w:trPr>
        <w:tc>
          <w:tcPr>
            <w:tcW w:w="13680" w:type="dxa"/>
            <w:gridSpan w:val="4"/>
            <w:tcBorders>
              <w:top w:val="nil"/>
              <w:bottom w:val="single" w:sz="4" w:space="0" w:color="auto"/>
            </w:tcBorders>
            <w:shd w:val="clear" w:color="auto" w:fill="auto"/>
          </w:tcPr>
          <w:p w14:paraId="24B53239" w14:textId="1809CFD6" w:rsidR="0077614F" w:rsidRPr="00926491" w:rsidRDefault="0077614F" w:rsidP="009B3F06">
            <w:pPr>
              <w:pStyle w:val="TableHeader"/>
              <w:rPr>
                <w:b/>
              </w:rPr>
            </w:pPr>
            <w:bookmarkStart w:id="91" w:name="_Toc12026038"/>
            <w:bookmarkStart w:id="92" w:name="_Toc24009450"/>
            <w:r w:rsidRPr="00926491">
              <w:lastRenderedPageBreak/>
              <w:t>Table ES-1</w:t>
            </w:r>
            <w:r w:rsidRPr="00926491">
              <w:tab/>
              <w:t>Summary of Impacts and Mitigation Measures</w:t>
            </w:r>
            <w:bookmarkEnd w:id="91"/>
            <w:bookmarkEnd w:id="92"/>
          </w:p>
        </w:tc>
      </w:tr>
      <w:tr w:rsidR="0077614F" w:rsidRPr="00CA23A9" w14:paraId="16AA66DD" w14:textId="77777777" w:rsidTr="009B3F06">
        <w:trPr>
          <w:tblHeader/>
          <w:jc w:val="center"/>
        </w:trPr>
        <w:tc>
          <w:tcPr>
            <w:tcW w:w="5856" w:type="dxa"/>
            <w:tcBorders>
              <w:top w:val="single" w:sz="4" w:space="0" w:color="auto"/>
              <w:bottom w:val="single" w:sz="4" w:space="0" w:color="auto"/>
            </w:tcBorders>
            <w:shd w:val="clear" w:color="auto" w:fill="D9D9D9" w:themeFill="background1" w:themeFillShade="D9"/>
            <w:vAlign w:val="center"/>
          </w:tcPr>
          <w:p w14:paraId="0247010E" w14:textId="77777777" w:rsidR="0077614F" w:rsidRPr="00CA23A9" w:rsidRDefault="0077614F" w:rsidP="009B3F06">
            <w:pPr>
              <w:pStyle w:val="TableColumn"/>
            </w:pPr>
            <w:r w:rsidRPr="00CA23A9">
              <w:t>Impacts</w:t>
            </w:r>
          </w:p>
        </w:tc>
        <w:tc>
          <w:tcPr>
            <w:tcW w:w="993" w:type="dxa"/>
            <w:tcBorders>
              <w:top w:val="single" w:sz="4" w:space="0" w:color="auto"/>
              <w:bottom w:val="single" w:sz="4" w:space="0" w:color="auto"/>
            </w:tcBorders>
            <w:shd w:val="clear" w:color="auto" w:fill="D9D9D9" w:themeFill="background1" w:themeFillShade="D9"/>
            <w:vAlign w:val="center"/>
          </w:tcPr>
          <w:p w14:paraId="79003699" w14:textId="77777777" w:rsidR="0077614F" w:rsidRPr="00CA23A9" w:rsidRDefault="0077614F" w:rsidP="009B3F06">
            <w:pPr>
              <w:pStyle w:val="TableColumn"/>
            </w:pPr>
            <w:r w:rsidRPr="00CA23A9">
              <w:t>Significance before Mitigation</w:t>
            </w:r>
          </w:p>
        </w:tc>
        <w:tc>
          <w:tcPr>
            <w:tcW w:w="5893" w:type="dxa"/>
            <w:tcBorders>
              <w:top w:val="single" w:sz="4" w:space="0" w:color="auto"/>
              <w:bottom w:val="single" w:sz="4" w:space="0" w:color="auto"/>
            </w:tcBorders>
            <w:shd w:val="clear" w:color="auto" w:fill="D9D9D9" w:themeFill="background1" w:themeFillShade="D9"/>
            <w:vAlign w:val="center"/>
          </w:tcPr>
          <w:p w14:paraId="183B747D" w14:textId="77777777" w:rsidR="0077614F" w:rsidRPr="00CA23A9" w:rsidRDefault="0077614F" w:rsidP="009B3F06">
            <w:pPr>
              <w:pStyle w:val="TableColumn"/>
            </w:pPr>
            <w:r w:rsidRPr="00CA23A9">
              <w:t>Mitigation Measures</w:t>
            </w:r>
          </w:p>
        </w:tc>
        <w:tc>
          <w:tcPr>
            <w:tcW w:w="938" w:type="dxa"/>
            <w:tcBorders>
              <w:top w:val="single" w:sz="4" w:space="0" w:color="auto"/>
              <w:bottom w:val="single" w:sz="4" w:space="0" w:color="auto"/>
            </w:tcBorders>
            <w:shd w:val="clear" w:color="auto" w:fill="D9D9D9" w:themeFill="background1" w:themeFillShade="D9"/>
            <w:vAlign w:val="center"/>
          </w:tcPr>
          <w:p w14:paraId="3BF08EFD" w14:textId="77777777" w:rsidR="0077614F" w:rsidRPr="00CA23A9" w:rsidRDefault="0077614F" w:rsidP="009B3F06">
            <w:pPr>
              <w:pStyle w:val="TableColumn"/>
            </w:pPr>
            <w:r w:rsidRPr="00CA23A9">
              <w:t>Significance after Mitigation</w:t>
            </w:r>
          </w:p>
        </w:tc>
      </w:tr>
      <w:tr w:rsidR="0077614F" w:rsidRPr="00CA23A9" w14:paraId="7E3A277D" w14:textId="77777777" w:rsidTr="009B3F06">
        <w:trPr>
          <w:tblHeader/>
          <w:jc w:val="center"/>
        </w:trPr>
        <w:tc>
          <w:tcPr>
            <w:tcW w:w="13680" w:type="dxa"/>
            <w:gridSpan w:val="4"/>
            <w:tcBorders>
              <w:bottom w:val="single" w:sz="4" w:space="0" w:color="auto"/>
            </w:tcBorders>
            <w:shd w:val="clear" w:color="auto" w:fill="D9D9D9" w:themeFill="background1" w:themeFillShade="D9"/>
          </w:tcPr>
          <w:p w14:paraId="2238F5CB" w14:textId="77777777" w:rsidR="0077614F" w:rsidRPr="00CA23A9" w:rsidRDefault="0077614F" w:rsidP="009B3F06">
            <w:pPr>
              <w:pStyle w:val="TableColumn"/>
            </w:pPr>
            <w:r w:rsidRPr="00CA23A9">
              <w:t>NI = No impact</w:t>
            </w:r>
            <w:r w:rsidRPr="00CA23A9">
              <w:tab/>
              <w:t>LTS = Less than significant</w:t>
            </w:r>
            <w:r w:rsidRPr="00CA23A9">
              <w:tab/>
              <w:t>PS = Potentially significant</w:t>
            </w:r>
            <w:r w:rsidRPr="00CA23A9">
              <w:tab/>
              <w:t>LTS</w:t>
            </w:r>
            <w:r>
              <w:t>M</w:t>
            </w:r>
            <w:r w:rsidRPr="00CA23A9">
              <w:t xml:space="preserve"> = Less than significant</w:t>
            </w:r>
            <w:r>
              <w:t xml:space="preserve"> with Mitigation </w:t>
            </w:r>
            <w:r w:rsidRPr="00CA23A9">
              <w:t>SU = Significant and unavoidable</w:t>
            </w:r>
          </w:p>
        </w:tc>
      </w:tr>
      <w:tr w:rsidR="0090779A" w:rsidRPr="005B3573" w14:paraId="3D60DE02" w14:textId="77777777" w:rsidTr="002B7098">
        <w:trPr>
          <w:jc w:val="center"/>
        </w:trPr>
        <w:tc>
          <w:tcPr>
            <w:tcW w:w="5856" w:type="dxa"/>
          </w:tcPr>
          <w:p w14:paraId="48598B22" w14:textId="0A051DD4" w:rsidR="0090779A" w:rsidRPr="00931675" w:rsidRDefault="0090779A" w:rsidP="0090779A">
            <w:pPr>
              <w:pStyle w:val="TableTextL"/>
            </w:pPr>
          </w:p>
        </w:tc>
        <w:tc>
          <w:tcPr>
            <w:tcW w:w="993" w:type="dxa"/>
          </w:tcPr>
          <w:p w14:paraId="2E3B7025" w14:textId="092D9D85" w:rsidR="0090779A" w:rsidRPr="005B3573" w:rsidRDefault="0090779A" w:rsidP="0090779A">
            <w:pPr>
              <w:pStyle w:val="TableTextL"/>
              <w:jc w:val="center"/>
            </w:pPr>
          </w:p>
        </w:tc>
        <w:tc>
          <w:tcPr>
            <w:tcW w:w="5893" w:type="dxa"/>
          </w:tcPr>
          <w:p w14:paraId="427452BA" w14:textId="77777777" w:rsidR="0077614F" w:rsidRPr="0077614F" w:rsidRDefault="0077614F" w:rsidP="0077614F">
            <w:pPr>
              <w:pStyle w:val="TableTextL"/>
              <w:rPr>
                <w:b/>
                <w:bCs/>
              </w:rPr>
            </w:pPr>
            <w:r w:rsidRPr="0077614F">
              <w:rPr>
                <w:b/>
                <w:bCs/>
              </w:rPr>
              <w:t>Mitigation Measure BIO-2f: Avoid Habitat for Special-Status Beetles, Flies, Grasshoppers, and Snails (All Treatment Activities)</w:t>
            </w:r>
          </w:p>
          <w:p w14:paraId="03967208" w14:textId="77777777" w:rsidR="0077614F" w:rsidRDefault="0077614F" w:rsidP="0077614F">
            <w:pPr>
              <w:pStyle w:val="TableTextL"/>
            </w:pPr>
            <w:r>
              <w:t>If treatment activities would occur within the limited range of any state or federally listed beetle, fly, grasshopper, or snail, and these species are identified as occurring or having potential to occur due to the presence of potentially suitable habitat during review and surveys for SPR BIO-1 and surveys for SPR BIO-10, then the following measures will be implemented:</w:t>
            </w:r>
          </w:p>
          <w:p w14:paraId="3DA142D2" w14:textId="15E616EC" w:rsidR="0077614F" w:rsidRDefault="0077614F" w:rsidP="0077614F">
            <w:pPr>
              <w:pStyle w:val="TableBullet1"/>
            </w:pPr>
            <w:r>
              <w:t xml:space="preserve">To avoid and minimize impacts to Mount Hermon June beetle and </w:t>
            </w:r>
            <w:proofErr w:type="spellStart"/>
            <w:r>
              <w:t>Zayante</w:t>
            </w:r>
            <w:proofErr w:type="spellEnd"/>
            <w:r>
              <w:t xml:space="preserve"> band-winged grasshopper, treatment activities will not occur within ”Sandhills” habitat in Santa Cruz County, the only suitable habitat for these species.</w:t>
            </w:r>
          </w:p>
          <w:p w14:paraId="6E8D48AE" w14:textId="1721A5DD" w:rsidR="0077614F" w:rsidRDefault="0077614F" w:rsidP="0077614F">
            <w:pPr>
              <w:pStyle w:val="TableBullet1"/>
            </w:pPr>
            <w:r>
              <w:t>To avoid and minimize impacts to Casey’s June beetle, Delhi Sands flower-loving fly (</w:t>
            </w:r>
            <w:proofErr w:type="spellStart"/>
            <w:r>
              <w:t>Rhaphiomidas</w:t>
            </w:r>
            <w:proofErr w:type="spellEnd"/>
            <w:r>
              <w:t xml:space="preserve"> terminates </w:t>
            </w:r>
            <w:proofErr w:type="spellStart"/>
            <w:r>
              <w:t>abdominalis</w:t>
            </w:r>
            <w:proofErr w:type="spellEnd"/>
            <w:r>
              <w:t>), Delta green ground beetle (</w:t>
            </w:r>
            <w:proofErr w:type="spellStart"/>
            <w:r>
              <w:t>Elaphrus</w:t>
            </w:r>
            <w:proofErr w:type="spellEnd"/>
            <w:r>
              <w:t xml:space="preserve"> </w:t>
            </w:r>
            <w:proofErr w:type="spellStart"/>
            <w:r>
              <w:t>virisis</w:t>
            </w:r>
            <w:proofErr w:type="spellEnd"/>
            <w:r>
              <w:t xml:space="preserve">), Morro </w:t>
            </w:r>
            <w:proofErr w:type="spellStart"/>
            <w:r>
              <w:t>shoulderband</w:t>
            </w:r>
            <w:proofErr w:type="spellEnd"/>
            <w:r>
              <w:t xml:space="preserve"> snail, Ohlone tiger beetle (</w:t>
            </w:r>
            <w:proofErr w:type="spellStart"/>
            <w:r>
              <w:t>Cicindela</w:t>
            </w:r>
            <w:proofErr w:type="spellEnd"/>
            <w:r>
              <w:t xml:space="preserve"> </w:t>
            </w:r>
            <w:proofErr w:type="spellStart"/>
            <w:r>
              <w:t>ohlone</w:t>
            </w:r>
            <w:proofErr w:type="spellEnd"/>
            <w:r>
              <w:t xml:space="preserve">), and Trinity bristle snail, treatment activities will not occur within habitat in the range of these species that is deemed suitable by a qualified RPF or biologist with familiarity of the species. </w:t>
            </w:r>
          </w:p>
          <w:p w14:paraId="62B488A6" w14:textId="45BA5EE8" w:rsidR="0090779A" w:rsidRDefault="0077614F" w:rsidP="0077614F">
            <w:pPr>
              <w:pStyle w:val="TableTextL"/>
              <w:spacing w:after="60"/>
            </w:pPr>
            <w:r>
              <w:t>If the project proponent cannot implement the measures above to avoid mortality, injury or disturbance to listed beetles, flies, grasshoppers, and snails, or degradation of suitable habitat such that its function would not be maintained, the project proponent will implement Mitigation Measure BIO-2c.</w:t>
            </w:r>
          </w:p>
          <w:p w14:paraId="5469B442" w14:textId="77777777" w:rsidR="00AA2035" w:rsidRPr="00AA2035" w:rsidRDefault="00AA2035" w:rsidP="00AA2035">
            <w:pPr>
              <w:pStyle w:val="TableTextL"/>
              <w:rPr>
                <w:b/>
                <w:bCs/>
              </w:rPr>
            </w:pPr>
            <w:r w:rsidRPr="00AA2035">
              <w:rPr>
                <w:b/>
                <w:bCs/>
              </w:rPr>
              <w:t>Mitigation Measure BIO-2g: Design Treatment to Avoid Mortality, Injury, or Disturbance and Maintain Habitat Function for Special-Status Bumble Bees (All Treatment Activities)</w:t>
            </w:r>
          </w:p>
          <w:p w14:paraId="19D7D20F" w14:textId="6EC107B5" w:rsidR="00AA2035" w:rsidRDefault="00AA2035" w:rsidP="00AA2035">
            <w:pPr>
              <w:pStyle w:val="TableTextL"/>
              <w:spacing w:after="60"/>
            </w:pPr>
            <w:r>
              <w:t>If special-status bumble bees are identified as occurring during review and surveys under SPR BIO-1 and confirmed during protocol-level surveys per SPR BIO-10, or if suitable habitat for special-status bumble bees is identified during review and surveys under SPR BIO-1 (e.g., wet meadow, forest meadow, riparian, grassland, or coastal scrub habitat containing sufficient floral resources within the range of the species), then the project proponent will implement the following measures, as feasible:</w:t>
            </w:r>
          </w:p>
          <w:p w14:paraId="2A65D656" w14:textId="05BC14DE" w:rsidR="00AA2035" w:rsidRDefault="00AA2035" w:rsidP="00AA2035">
            <w:pPr>
              <w:pStyle w:val="TableBullet1"/>
            </w:pPr>
            <w:r>
              <w:t>Prescribed burning within occupied or suitable habitat for special-status bumble bees will occur from October through February to avoid the bumble bee flight season.</w:t>
            </w:r>
          </w:p>
          <w:p w14:paraId="1FDC6BCC" w14:textId="178B2C34" w:rsidR="00AA2035" w:rsidRDefault="00AA2035" w:rsidP="00AA2035">
            <w:pPr>
              <w:pStyle w:val="TableBullet1"/>
            </w:pPr>
            <w:r>
              <w:lastRenderedPageBreak/>
              <w:t>Treatment areas in occupied or suitable habitat will be divided into a sufficient number of treatment units such that the entirety of the habitat is not treated within the same year; the objective of this measure is to provide refuge for special-status bumble bees during treatment activities and temporary retention of suitable floral resources proximate to the treatment area.</w:t>
            </w:r>
          </w:p>
          <w:p w14:paraId="662040AE" w14:textId="0AF6E5DA" w:rsidR="00AA2035" w:rsidRDefault="00AA2035" w:rsidP="00AA2035">
            <w:pPr>
              <w:pStyle w:val="TableBullet1"/>
            </w:pPr>
            <w:r>
              <w:t xml:space="preserve">Treatments will be conducted in a patchy pattern to the extent feasible in occupied or suitable habitat, such that the entirety of the habitat is not burned or removed and untreated portions of occupied or suitable habitat are retained (e.g., fire breaks will be aligned to allow for areas of unburned floral resources for special-status bumble bees within the treatment area). </w:t>
            </w:r>
          </w:p>
          <w:p w14:paraId="7E51A70E" w14:textId="7460EC93" w:rsidR="00AA2035" w:rsidRDefault="00AA2035" w:rsidP="00AA2035">
            <w:pPr>
              <w:pStyle w:val="TableBullet1"/>
            </w:pPr>
            <w:r>
              <w:t>Herbicides will not be applied to flowering native plants within occupied or suitable habitat to the extent feasible during the flight season (March through September).</w:t>
            </w:r>
          </w:p>
          <w:p w14:paraId="7ED1D526" w14:textId="77777777" w:rsidR="00AA2035" w:rsidRDefault="00AA2035" w:rsidP="00AA2035">
            <w:pPr>
              <w:pStyle w:val="TableTextL"/>
              <w:spacing w:after="60"/>
            </w:pPr>
            <w:r w:rsidRPr="00297B8C">
              <w:rPr>
                <w:b/>
                <w:bCs/>
              </w:rPr>
              <w:t>CESA and ESA Listed Species.</w:t>
            </w:r>
            <w:r>
              <w:t xml:space="preserve"> A qualified RPF or biologist will determine if, after implementation of feasible avoidance measures (potentially including others not listed above), the treatment will result in mortality, injury, or disturbance to the species, or if after implementation of the treatment, habitat function will remain for the affected species. For species listed under CESA or ESA or that are fully protected, the qualified RPF or biologist will consult with CDFW and/or USFWS regarding this determination. If consultation determines that mortality, injury, or disturbance of listed bumble bees (in the event the Candidate listing is confirmed) or degradation of occupied (or assumed to be occupied) habitat such that its function would not be maintained would occur, the project proponent will implement Mitigation Measure BIO-2c. </w:t>
            </w:r>
          </w:p>
          <w:p w14:paraId="55022202" w14:textId="77777777" w:rsidR="0061606F" w:rsidRPr="0061606F" w:rsidRDefault="0061606F" w:rsidP="0061606F">
            <w:pPr>
              <w:pStyle w:val="TableTextL"/>
            </w:pPr>
            <w:r w:rsidRPr="0061606F">
              <w:rPr>
                <w:b/>
                <w:bCs/>
              </w:rPr>
              <w:t>Other Special-status Species.</w:t>
            </w:r>
            <w:r w:rsidRPr="0061606F">
              <w:t xml:space="preserve"> A qualified RPF or biologist with knowledge of the special-status species’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habitat function of the special-status species’ habitat or because the loss of special-status individuals would substantially reduce the number or restrict the range of a special-status species. If the project proponent determines the impact on special-status bumble bees would be less than significant, no further mitigation will be </w:t>
            </w:r>
            <w:r w:rsidRPr="0061606F">
              <w:lastRenderedPageBreak/>
              <w:t>required. If the project proponent determines that the loss of special-status bumble bees or degradation of occupied (or assumed to be occupied)</w:t>
            </w:r>
            <w:r w:rsidRPr="0061606F" w:rsidDel="00FC7AE1">
              <w:t xml:space="preserve"> </w:t>
            </w:r>
            <w:r w:rsidRPr="0061606F">
              <w:t xml:space="preserve">habitat would be significant under CEQA after implementing feasible treatment design alternatives and impact minimization measures, then Mitigation Measure BIO-2c will be implemented. </w:t>
            </w:r>
          </w:p>
          <w:p w14:paraId="75CE9E90" w14:textId="4DDF7E18" w:rsidR="00AA2035" w:rsidRDefault="0061606F" w:rsidP="0061606F">
            <w:pPr>
              <w:pStyle w:val="TableTextL"/>
            </w:pPr>
            <w:r w:rsidRPr="0061606F">
              <w:t xml:space="preserve">The only exception to this mitigation approach is in cases where it is determined by a qualified RPF or biologist that the special-status bumble bee </w:t>
            </w:r>
            <w:r w:rsidRPr="007058AB">
              <w:rPr>
                <w:u w:val="single"/>
              </w:rPr>
              <w:t>species</w:t>
            </w:r>
            <w:r w:rsidRPr="0061606F">
              <w:t xml:space="preserve"> would benefit from treatment in the occupied (or assumed to be occupied)</w:t>
            </w:r>
            <w:r w:rsidRPr="0061606F" w:rsidDel="00FC7AE1">
              <w:t xml:space="preserve"> </w:t>
            </w:r>
            <w:r w:rsidRPr="0061606F">
              <w:t xml:space="preserve">habitat area even though some of the non-listed special-status bumble bees may be killed, injured, or disturbed during treatment activities. </w:t>
            </w:r>
            <w:r w:rsidRPr="007058AB">
              <w:rPr>
                <w:u w:val="single"/>
              </w:rPr>
              <w:t xml:space="preserve">For a treatment to be considered beneficial to special-status bumble bee species,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and the substantial evidence will be included in the PSA. </w:t>
            </w:r>
            <w:r w:rsidRPr="0061606F">
              <w:t>If it is determined that treatment activities would be beneficial to special-status bumble bees, no compensatory mitigation will be required.</w:t>
            </w:r>
          </w:p>
          <w:p w14:paraId="3D905217" w14:textId="77777777" w:rsidR="00F06F01" w:rsidRPr="004D7357" w:rsidRDefault="00F06F01" w:rsidP="00F06F01">
            <w:pPr>
              <w:pStyle w:val="TableTextL"/>
              <w:spacing w:after="60"/>
              <w:rPr>
                <w:b/>
                <w:bCs/>
              </w:rPr>
            </w:pPr>
            <w:r w:rsidRPr="004D7357">
              <w:rPr>
                <w:b/>
                <w:bCs/>
              </w:rPr>
              <w:t xml:space="preserve">Mitigation Measure BIO-3a: Design Treatments to Avoid Loss of Sensitive Natural Communities and Oak Woodlands </w:t>
            </w:r>
          </w:p>
          <w:p w14:paraId="64AA1F42" w14:textId="77777777" w:rsidR="00F06F01" w:rsidRPr="004D7357" w:rsidRDefault="00F06F01" w:rsidP="00F06F01">
            <w:pPr>
              <w:pStyle w:val="TableTextL"/>
              <w:spacing w:after="60"/>
              <w:rPr>
                <w:b/>
                <w:bCs/>
              </w:rPr>
            </w:pPr>
            <w:r w:rsidRPr="004D7357">
              <w:rPr>
                <w:b/>
                <w:bCs/>
              </w:rPr>
              <w:t xml:space="preserve">Mitigation Measure BIO-3b: Compensate for Loss of Sensitive Natural Communities and Oak Woodlands </w:t>
            </w:r>
          </w:p>
          <w:p w14:paraId="1249B452" w14:textId="6D7E1E2F" w:rsidR="0077614F" w:rsidRPr="005B3573" w:rsidRDefault="00F06F01" w:rsidP="00F06F01">
            <w:pPr>
              <w:pStyle w:val="TableTextL"/>
            </w:pPr>
            <w:r w:rsidRPr="004D7357">
              <w:rPr>
                <w:b/>
                <w:bCs/>
              </w:rPr>
              <w:t>Mitigation Measure BIO-3c: Compensate for Unavoidable Loss of Riparian Habitat</w:t>
            </w:r>
          </w:p>
        </w:tc>
        <w:tc>
          <w:tcPr>
            <w:tcW w:w="938" w:type="dxa"/>
          </w:tcPr>
          <w:p w14:paraId="30977499" w14:textId="580FAACC" w:rsidR="0090779A" w:rsidRPr="005B3573" w:rsidRDefault="0090779A" w:rsidP="0090779A">
            <w:pPr>
              <w:pStyle w:val="TableTextL"/>
              <w:jc w:val="center"/>
            </w:pPr>
          </w:p>
        </w:tc>
      </w:tr>
      <w:tr w:rsidR="0090779A" w:rsidRPr="005B3573" w14:paraId="2648C5EE" w14:textId="77777777" w:rsidTr="002B7098">
        <w:trPr>
          <w:jc w:val="center"/>
        </w:trPr>
        <w:tc>
          <w:tcPr>
            <w:tcW w:w="5856" w:type="dxa"/>
          </w:tcPr>
          <w:p w14:paraId="3B14163E" w14:textId="1C196328" w:rsidR="0090779A" w:rsidRPr="00732126" w:rsidRDefault="00732126" w:rsidP="0090779A">
            <w:pPr>
              <w:pStyle w:val="TableTextL"/>
              <w:rPr>
                <w:b/>
                <w:bCs/>
              </w:rPr>
            </w:pPr>
            <w:r w:rsidRPr="00732126">
              <w:rPr>
                <w:b/>
                <w:bCs/>
              </w:rPr>
              <w:lastRenderedPageBreak/>
              <w:t>Bats</w:t>
            </w:r>
          </w:p>
        </w:tc>
        <w:tc>
          <w:tcPr>
            <w:tcW w:w="993" w:type="dxa"/>
          </w:tcPr>
          <w:p w14:paraId="0CA6206B" w14:textId="360605F1" w:rsidR="0090779A" w:rsidRPr="005B3573" w:rsidRDefault="00732126" w:rsidP="0090779A">
            <w:pPr>
              <w:pStyle w:val="TableTextL"/>
              <w:jc w:val="center"/>
            </w:pPr>
            <w:r>
              <w:t>PS</w:t>
            </w:r>
          </w:p>
        </w:tc>
        <w:tc>
          <w:tcPr>
            <w:tcW w:w="5893" w:type="dxa"/>
          </w:tcPr>
          <w:p w14:paraId="21EEA982" w14:textId="77777777" w:rsidR="00732126" w:rsidRPr="004D7357" w:rsidRDefault="00732126" w:rsidP="00732126">
            <w:pPr>
              <w:pStyle w:val="TableTextL"/>
              <w:spacing w:after="60"/>
              <w:rPr>
                <w:b/>
                <w:bCs/>
              </w:rPr>
            </w:pPr>
            <w:r w:rsidRPr="004D7357">
              <w:rPr>
                <w:b/>
                <w:bCs/>
              </w:rPr>
              <w:t>Mitigation Measure BIO-2a: Avoid Mortality, Injury, or Disturbance and Maintain Habitat Function for Listed Wildlife Species and California Fully Protected Species (All Treatment Activities)</w:t>
            </w:r>
          </w:p>
          <w:p w14:paraId="5BE9925A" w14:textId="77777777" w:rsidR="00732126" w:rsidRPr="004D7357" w:rsidRDefault="00732126" w:rsidP="00732126">
            <w:pPr>
              <w:pStyle w:val="TableTextL"/>
              <w:spacing w:after="60"/>
              <w:rPr>
                <w:b/>
                <w:bCs/>
              </w:rPr>
            </w:pPr>
            <w:r w:rsidRPr="004D7357">
              <w:rPr>
                <w:b/>
                <w:bCs/>
              </w:rPr>
              <w:t>Mitigation Measure BIO-2b: Avoid Mortality, Injury, or Disturbance and Maintain Habitat Function for Other Special-Status Wildlife Species (All Treatment Activities)</w:t>
            </w:r>
          </w:p>
          <w:p w14:paraId="2AA07464" w14:textId="77777777" w:rsidR="00732126" w:rsidRPr="001663CE" w:rsidRDefault="00732126" w:rsidP="00732126">
            <w:pPr>
              <w:pStyle w:val="TableTextL"/>
              <w:spacing w:after="60"/>
              <w:rPr>
                <w:b/>
                <w:bCs/>
                <w:spacing w:val="-4"/>
              </w:rPr>
            </w:pPr>
            <w:r w:rsidRPr="001663CE">
              <w:rPr>
                <w:b/>
                <w:bCs/>
                <w:spacing w:val="-4"/>
              </w:rPr>
              <w:t>Mitigation Measure BIO-2c: Compensate for Mortality, Injury, or Disturbance and Loss of Habitat Function for Special-Status Wildlife if Applicable (All Treatment Activities)</w:t>
            </w:r>
          </w:p>
          <w:p w14:paraId="689DF72B" w14:textId="77777777" w:rsidR="00732126" w:rsidRPr="004D7357" w:rsidRDefault="00732126" w:rsidP="00732126">
            <w:pPr>
              <w:pStyle w:val="TableTextL"/>
              <w:spacing w:after="60"/>
              <w:rPr>
                <w:b/>
                <w:bCs/>
              </w:rPr>
            </w:pPr>
            <w:r w:rsidRPr="004D7357">
              <w:rPr>
                <w:b/>
                <w:bCs/>
              </w:rPr>
              <w:t xml:space="preserve">Mitigation Measure BIO-3a: Design Treatments to Avoid Loss of Sensitive Natural Communities and Oak Woodlands </w:t>
            </w:r>
          </w:p>
          <w:p w14:paraId="0F201A78" w14:textId="77777777" w:rsidR="00732126" w:rsidRPr="004D7357" w:rsidRDefault="00732126" w:rsidP="00732126">
            <w:pPr>
              <w:pStyle w:val="TableTextL"/>
              <w:spacing w:after="60"/>
              <w:rPr>
                <w:b/>
                <w:bCs/>
              </w:rPr>
            </w:pPr>
            <w:r w:rsidRPr="004D7357">
              <w:rPr>
                <w:b/>
                <w:bCs/>
              </w:rPr>
              <w:lastRenderedPageBreak/>
              <w:t xml:space="preserve">Mitigation Measure BIO-3b: Compensate for Loss of Sensitive Natural Communities and Oak Woodlands </w:t>
            </w:r>
          </w:p>
          <w:p w14:paraId="2956FF96" w14:textId="5DA42C02" w:rsidR="0090779A" w:rsidRPr="005B3573" w:rsidRDefault="00732126" w:rsidP="00732126">
            <w:pPr>
              <w:pStyle w:val="TableTextL"/>
            </w:pPr>
            <w:r w:rsidRPr="004D7357">
              <w:rPr>
                <w:b/>
                <w:bCs/>
              </w:rPr>
              <w:t>Mitigation Measure BIO-3c: Compensate for Unavoidable Loss of Riparian Habitat</w:t>
            </w:r>
          </w:p>
        </w:tc>
        <w:tc>
          <w:tcPr>
            <w:tcW w:w="938" w:type="dxa"/>
          </w:tcPr>
          <w:p w14:paraId="0997F96F" w14:textId="5B339411" w:rsidR="0090779A" w:rsidRPr="005B3573" w:rsidRDefault="00732126" w:rsidP="0090779A">
            <w:pPr>
              <w:pStyle w:val="TableTextL"/>
              <w:jc w:val="center"/>
            </w:pPr>
            <w:r>
              <w:lastRenderedPageBreak/>
              <w:t>LTS</w:t>
            </w:r>
            <w:r w:rsidR="00907C5C">
              <w:t>M</w:t>
            </w:r>
          </w:p>
        </w:tc>
      </w:tr>
      <w:tr w:rsidR="00732126" w:rsidRPr="005B3573" w14:paraId="1B1BB6EE" w14:textId="77777777" w:rsidTr="002B7098">
        <w:trPr>
          <w:jc w:val="center"/>
        </w:trPr>
        <w:tc>
          <w:tcPr>
            <w:tcW w:w="5856" w:type="dxa"/>
          </w:tcPr>
          <w:p w14:paraId="0D748027" w14:textId="0C99D194" w:rsidR="00732126" w:rsidRPr="00923F9E" w:rsidRDefault="00923F9E" w:rsidP="0090779A">
            <w:pPr>
              <w:pStyle w:val="TableTextL"/>
              <w:rPr>
                <w:b/>
                <w:bCs/>
              </w:rPr>
            </w:pPr>
            <w:r w:rsidRPr="00923F9E">
              <w:rPr>
                <w:b/>
                <w:bCs/>
              </w:rPr>
              <w:t>Ungulates</w:t>
            </w:r>
          </w:p>
        </w:tc>
        <w:tc>
          <w:tcPr>
            <w:tcW w:w="993" w:type="dxa"/>
          </w:tcPr>
          <w:p w14:paraId="49650919" w14:textId="05823CFB" w:rsidR="00732126" w:rsidRPr="005B3573" w:rsidRDefault="00923F9E" w:rsidP="0090779A">
            <w:pPr>
              <w:pStyle w:val="TableTextL"/>
              <w:jc w:val="center"/>
            </w:pPr>
            <w:r>
              <w:t>PS</w:t>
            </w:r>
          </w:p>
        </w:tc>
        <w:tc>
          <w:tcPr>
            <w:tcW w:w="5893" w:type="dxa"/>
          </w:tcPr>
          <w:p w14:paraId="52D162E1" w14:textId="77777777" w:rsidR="00923F9E" w:rsidRPr="004D7357" w:rsidRDefault="00923F9E" w:rsidP="00923F9E">
            <w:pPr>
              <w:pStyle w:val="TableTextL"/>
              <w:spacing w:after="60"/>
              <w:rPr>
                <w:b/>
                <w:bCs/>
              </w:rPr>
            </w:pPr>
            <w:r w:rsidRPr="004D7357">
              <w:rPr>
                <w:b/>
                <w:bCs/>
              </w:rPr>
              <w:t>Mitigation Measure BIO-2a: Avoid Mortality, Injury, or Disturbance and Maintain Habitat Function for Listed Wildlife Species and California Fully Protected Species (All Treatment Activities)</w:t>
            </w:r>
          </w:p>
          <w:p w14:paraId="45CB44FA" w14:textId="77777777" w:rsidR="00923F9E" w:rsidRPr="004D7357" w:rsidRDefault="00923F9E" w:rsidP="00923F9E">
            <w:pPr>
              <w:pStyle w:val="TableTextL"/>
              <w:spacing w:after="60"/>
              <w:rPr>
                <w:b/>
                <w:bCs/>
              </w:rPr>
            </w:pPr>
            <w:r w:rsidRPr="004D7357">
              <w:rPr>
                <w:b/>
                <w:bCs/>
              </w:rPr>
              <w:t>Mitigation Measure BIO-2b: Avoid Mortality, Injury, or Disturbance and Maintain Habitat Function for Other Special-Status Wildlife Species (All Treatment Activities)</w:t>
            </w:r>
          </w:p>
          <w:p w14:paraId="22221299" w14:textId="4076964E" w:rsidR="00923F9E" w:rsidRPr="001663CE" w:rsidRDefault="00923F9E" w:rsidP="00923F9E">
            <w:pPr>
              <w:pStyle w:val="TableTextL"/>
              <w:spacing w:after="60"/>
              <w:rPr>
                <w:b/>
                <w:bCs/>
                <w:spacing w:val="-4"/>
              </w:rPr>
            </w:pPr>
            <w:r w:rsidRPr="001663CE">
              <w:rPr>
                <w:b/>
                <w:bCs/>
                <w:spacing w:val="-4"/>
              </w:rPr>
              <w:t>Mitigation Measure BIO-2c: Compensate for Mortality, Injury, or Disturbance and Loss of Habitat Function for Special-Status Wildlife if Applicable (All Treatment Activities)</w:t>
            </w:r>
          </w:p>
          <w:p w14:paraId="702CA5D5" w14:textId="3FF4E0A6" w:rsidR="00923F9E" w:rsidRPr="00923F9E" w:rsidRDefault="00923F9E" w:rsidP="00923F9E">
            <w:pPr>
              <w:pStyle w:val="TableTextL"/>
              <w:rPr>
                <w:b/>
                <w:bCs/>
              </w:rPr>
            </w:pPr>
            <w:r w:rsidRPr="00923F9E">
              <w:rPr>
                <w:b/>
                <w:bCs/>
              </w:rPr>
              <w:t>Mitigation Measure BIO-2</w:t>
            </w:r>
            <w:r w:rsidR="00706EB2">
              <w:rPr>
                <w:b/>
                <w:bCs/>
              </w:rPr>
              <w:t>h</w:t>
            </w:r>
            <w:r w:rsidRPr="00923F9E">
              <w:rPr>
                <w:b/>
                <w:bCs/>
              </w:rPr>
              <w:t>: Avoid Potential Disease Transmission Between Domestic Livestock and Special-Status Ungulates (Prescribed Herbivory)</w:t>
            </w:r>
          </w:p>
          <w:p w14:paraId="7BE2C8CC" w14:textId="77777777" w:rsidR="00923F9E" w:rsidRPr="00923F9E" w:rsidRDefault="00923F9E" w:rsidP="00923F9E">
            <w:pPr>
              <w:pStyle w:val="TableTextL"/>
              <w:spacing w:after="60"/>
            </w:pPr>
            <w:r w:rsidRPr="00923F9E">
              <w:t xml:space="preserve">The project proponent will implement the following measure if treatment activities are planned within the range of desert bighorn sheep, peninsular bighorn sheep, Sierra Nevada bighorn sheep, or pronghorn: </w:t>
            </w:r>
          </w:p>
          <w:p w14:paraId="463E3405" w14:textId="7C1EF805" w:rsidR="00923F9E" w:rsidRPr="00923F9E" w:rsidRDefault="00923F9E" w:rsidP="00923F9E">
            <w:pPr>
              <w:pStyle w:val="TableBullet1"/>
            </w:pPr>
            <w:r w:rsidRPr="00923F9E">
              <w:t>Prescribed herbivory activities will be prohibited within a 14-mile buffer around suitable habitat for any species of bighorn sheep within the range of these species consistent with the more stringent recommendations in the Recovery Plan for Sierra Nevada bighorn sheep (USFWS 2007).</w:t>
            </w:r>
          </w:p>
          <w:p w14:paraId="2070FE10" w14:textId="4F3D944B" w:rsidR="00923F9E" w:rsidRPr="00923F9E" w:rsidRDefault="00923F9E" w:rsidP="00923F9E">
            <w:pPr>
              <w:pStyle w:val="TableBullet1"/>
            </w:pPr>
            <w:r w:rsidRPr="00923F9E">
              <w:t>Prescribed herbivory activities will be avoided within the range of pronghorn where feasible (where this range does not overlap with the range of any species of bighorn sheep).</w:t>
            </w:r>
          </w:p>
          <w:p w14:paraId="10304104" w14:textId="77777777" w:rsidR="00923F9E" w:rsidRPr="004D7357" w:rsidRDefault="00923F9E" w:rsidP="00923F9E">
            <w:pPr>
              <w:pStyle w:val="TableTextL"/>
              <w:spacing w:after="60"/>
              <w:rPr>
                <w:b/>
                <w:bCs/>
              </w:rPr>
            </w:pPr>
            <w:r w:rsidRPr="004D7357">
              <w:rPr>
                <w:b/>
                <w:bCs/>
              </w:rPr>
              <w:t xml:space="preserve">Mitigation Measure BIO-3a: Design Treatments to Avoid Loss of Sensitive Natural Communities and Oak Woodlands </w:t>
            </w:r>
          </w:p>
          <w:p w14:paraId="263AEA3B" w14:textId="77777777" w:rsidR="00923F9E" w:rsidRPr="004D7357" w:rsidRDefault="00923F9E" w:rsidP="00923F9E">
            <w:pPr>
              <w:pStyle w:val="TableTextL"/>
              <w:spacing w:after="60"/>
              <w:rPr>
                <w:b/>
                <w:bCs/>
              </w:rPr>
            </w:pPr>
            <w:r w:rsidRPr="004D7357">
              <w:rPr>
                <w:b/>
                <w:bCs/>
              </w:rPr>
              <w:t xml:space="preserve">Mitigation Measure BIO-3b: Compensate for Loss of Sensitive Natural Communities and Oak Woodlands </w:t>
            </w:r>
          </w:p>
          <w:p w14:paraId="441ACF03" w14:textId="3D38A09E" w:rsidR="00732126" w:rsidRPr="005B3573" w:rsidRDefault="00923F9E" w:rsidP="00923F9E">
            <w:pPr>
              <w:pStyle w:val="TableTextL"/>
            </w:pPr>
            <w:r w:rsidRPr="004D7357">
              <w:rPr>
                <w:b/>
                <w:bCs/>
              </w:rPr>
              <w:t>Mitigation Measure BIO-3c: Compensate for Unavoidable Loss of Riparian Habitat</w:t>
            </w:r>
          </w:p>
        </w:tc>
        <w:tc>
          <w:tcPr>
            <w:tcW w:w="938" w:type="dxa"/>
          </w:tcPr>
          <w:p w14:paraId="53847224" w14:textId="64C429DD" w:rsidR="00732126" w:rsidRPr="005B3573" w:rsidRDefault="00C44ECD" w:rsidP="0090779A">
            <w:pPr>
              <w:pStyle w:val="TableTextL"/>
              <w:jc w:val="center"/>
            </w:pPr>
            <w:r>
              <w:t>LTS</w:t>
            </w:r>
            <w:r w:rsidR="00907C5C">
              <w:t>M</w:t>
            </w:r>
          </w:p>
        </w:tc>
      </w:tr>
      <w:tr w:rsidR="00732126" w:rsidRPr="005B3573" w14:paraId="582837DF" w14:textId="77777777" w:rsidTr="002B7098">
        <w:trPr>
          <w:jc w:val="center"/>
        </w:trPr>
        <w:tc>
          <w:tcPr>
            <w:tcW w:w="5856" w:type="dxa"/>
          </w:tcPr>
          <w:p w14:paraId="1843F7FB" w14:textId="0CCCB5E5" w:rsidR="00732126" w:rsidRPr="00C44ECD" w:rsidRDefault="00C44ECD" w:rsidP="0090779A">
            <w:pPr>
              <w:pStyle w:val="TableTextL"/>
              <w:rPr>
                <w:b/>
                <w:bCs/>
              </w:rPr>
            </w:pPr>
            <w:r w:rsidRPr="00C44ECD">
              <w:rPr>
                <w:b/>
                <w:bCs/>
              </w:rPr>
              <w:t>Fish and Aquatic Invertebrates</w:t>
            </w:r>
          </w:p>
        </w:tc>
        <w:tc>
          <w:tcPr>
            <w:tcW w:w="993" w:type="dxa"/>
          </w:tcPr>
          <w:p w14:paraId="59057672" w14:textId="46465985" w:rsidR="00907C5C" w:rsidRDefault="00907C5C" w:rsidP="0090779A">
            <w:pPr>
              <w:pStyle w:val="TableTextL"/>
              <w:jc w:val="center"/>
            </w:pPr>
            <w:r>
              <w:t>LTS</w:t>
            </w:r>
          </w:p>
          <w:p w14:paraId="13E51E95" w14:textId="124E19EB" w:rsidR="00907C5C" w:rsidRDefault="00907C5C" w:rsidP="0090779A">
            <w:pPr>
              <w:pStyle w:val="TableTextL"/>
              <w:jc w:val="center"/>
            </w:pPr>
            <w:r>
              <w:t>(in rivers, streams, lakes)</w:t>
            </w:r>
          </w:p>
          <w:p w14:paraId="5944F80E" w14:textId="77777777" w:rsidR="00462E42" w:rsidRDefault="00462E42" w:rsidP="0090779A">
            <w:pPr>
              <w:pStyle w:val="TableTextL"/>
              <w:jc w:val="center"/>
            </w:pPr>
          </w:p>
          <w:p w14:paraId="5F10013B" w14:textId="77777777" w:rsidR="00732126" w:rsidRDefault="00C44ECD" w:rsidP="0090779A">
            <w:pPr>
              <w:pStyle w:val="TableTextL"/>
              <w:jc w:val="center"/>
            </w:pPr>
            <w:r>
              <w:t>PS</w:t>
            </w:r>
          </w:p>
          <w:p w14:paraId="028D1E78" w14:textId="07B1C243" w:rsidR="00907C5C" w:rsidRPr="005B3573" w:rsidRDefault="00907C5C" w:rsidP="0090779A">
            <w:pPr>
              <w:pStyle w:val="TableTextL"/>
              <w:jc w:val="center"/>
            </w:pPr>
            <w:r>
              <w:t>(in wetlands, vernal pools)</w:t>
            </w:r>
          </w:p>
        </w:tc>
        <w:tc>
          <w:tcPr>
            <w:tcW w:w="5893" w:type="dxa"/>
          </w:tcPr>
          <w:p w14:paraId="2D6DA984" w14:textId="77777777" w:rsidR="00C44ECD" w:rsidRPr="004D7357" w:rsidRDefault="00C44ECD" w:rsidP="00C44ECD">
            <w:pPr>
              <w:pStyle w:val="TableTextL"/>
              <w:spacing w:after="60"/>
              <w:rPr>
                <w:b/>
                <w:bCs/>
              </w:rPr>
            </w:pPr>
            <w:r w:rsidRPr="004D7357">
              <w:rPr>
                <w:b/>
                <w:bCs/>
              </w:rPr>
              <w:lastRenderedPageBreak/>
              <w:t>Mitigation Measure BIO-2a: Avoid Mortality, Injury, or Disturbance and Maintain Habitat Function for Listed Wildlife Species and California Fully Protected Species (All Treatment Activities)</w:t>
            </w:r>
          </w:p>
          <w:p w14:paraId="630CE90B" w14:textId="77777777" w:rsidR="00C44ECD" w:rsidRPr="004D7357" w:rsidRDefault="00C44ECD" w:rsidP="00C44ECD">
            <w:pPr>
              <w:pStyle w:val="TableTextL"/>
              <w:spacing w:after="60"/>
              <w:rPr>
                <w:b/>
                <w:bCs/>
              </w:rPr>
            </w:pPr>
            <w:r w:rsidRPr="004D7357">
              <w:rPr>
                <w:b/>
                <w:bCs/>
              </w:rPr>
              <w:lastRenderedPageBreak/>
              <w:t>Mitigation Measure BIO-2b: Avoid Mortality, Injury, or Disturbance and Maintain Habitat Function for Other Special-Status Wildlife Species (All Treatment Activities)</w:t>
            </w:r>
          </w:p>
          <w:p w14:paraId="01553EC4" w14:textId="77777777" w:rsidR="00C44ECD" w:rsidRPr="001663CE" w:rsidRDefault="00C44ECD" w:rsidP="00C44ECD">
            <w:pPr>
              <w:pStyle w:val="TableTextL"/>
              <w:spacing w:after="60"/>
              <w:rPr>
                <w:b/>
                <w:bCs/>
                <w:spacing w:val="-4"/>
              </w:rPr>
            </w:pPr>
            <w:r w:rsidRPr="001663CE">
              <w:rPr>
                <w:b/>
                <w:bCs/>
                <w:spacing w:val="-4"/>
              </w:rPr>
              <w:t>Mitigation Measure BIO-2c: Compensate for Mortality, Injury, or Disturbance and Loss of Habitat Function for Special-Status Wildlife if Applicable (All Treatment Activities)</w:t>
            </w:r>
          </w:p>
          <w:p w14:paraId="3E558AAB" w14:textId="77777777" w:rsidR="00C44ECD" w:rsidRPr="004D7357" w:rsidRDefault="00C44ECD" w:rsidP="00C44ECD">
            <w:pPr>
              <w:pStyle w:val="TableTextL"/>
              <w:spacing w:after="60"/>
              <w:rPr>
                <w:b/>
                <w:bCs/>
              </w:rPr>
            </w:pPr>
            <w:r w:rsidRPr="004D7357">
              <w:rPr>
                <w:b/>
                <w:bCs/>
              </w:rPr>
              <w:t xml:space="preserve">Mitigation Measure BIO-3a: Design Treatments to Avoid Loss of Sensitive Natural Communities and Oak Woodlands </w:t>
            </w:r>
          </w:p>
          <w:p w14:paraId="72B59511" w14:textId="77777777" w:rsidR="00C44ECD" w:rsidRPr="004D7357" w:rsidRDefault="00C44ECD" w:rsidP="00C44ECD">
            <w:pPr>
              <w:pStyle w:val="TableTextL"/>
              <w:spacing w:after="60"/>
              <w:rPr>
                <w:b/>
                <w:bCs/>
              </w:rPr>
            </w:pPr>
            <w:r w:rsidRPr="004D7357">
              <w:rPr>
                <w:b/>
                <w:bCs/>
              </w:rPr>
              <w:t xml:space="preserve">Mitigation Measure BIO-3b: Compensate for Loss of Sensitive Natural Communities and Oak Woodlands </w:t>
            </w:r>
          </w:p>
          <w:p w14:paraId="41FECDE5" w14:textId="77777777" w:rsidR="00732126" w:rsidRDefault="00C44ECD" w:rsidP="00C44ECD">
            <w:pPr>
              <w:pStyle w:val="TableTextL"/>
              <w:spacing w:after="60"/>
              <w:rPr>
                <w:b/>
                <w:bCs/>
              </w:rPr>
            </w:pPr>
            <w:r w:rsidRPr="004D7357">
              <w:rPr>
                <w:b/>
                <w:bCs/>
              </w:rPr>
              <w:t>Mitigation Measure BIO-3c: Compensate for Unavoidable Loss of Riparian Habitat</w:t>
            </w:r>
          </w:p>
          <w:p w14:paraId="740EFED0" w14:textId="77777777" w:rsidR="00C44ECD" w:rsidRPr="00C44ECD" w:rsidRDefault="00C44ECD" w:rsidP="00C44ECD">
            <w:pPr>
              <w:pStyle w:val="TableTextL"/>
              <w:rPr>
                <w:b/>
                <w:bCs/>
              </w:rPr>
            </w:pPr>
            <w:r w:rsidRPr="00C44ECD">
              <w:rPr>
                <w:b/>
                <w:bCs/>
              </w:rPr>
              <w:t>Mitigation Measure BIO-4: Avoid State and Federally Protected Wetlands</w:t>
            </w:r>
          </w:p>
          <w:p w14:paraId="7E525EE1" w14:textId="77777777" w:rsidR="00C44ECD" w:rsidRDefault="00C44ECD" w:rsidP="00C44ECD">
            <w:pPr>
              <w:pStyle w:val="TableTextL"/>
            </w:pPr>
            <w:r>
              <w:t>Impacts to wetlands will be avoided using the following measures:</w:t>
            </w:r>
          </w:p>
          <w:p w14:paraId="390EDE8A" w14:textId="77777777" w:rsidR="00C44ECD" w:rsidRDefault="00C44ECD" w:rsidP="000E58C3">
            <w:pPr>
              <w:pStyle w:val="TableBullet2"/>
            </w:pPr>
            <w:bookmarkStart w:id="93" w:name="_Hlk11078342"/>
            <w:r>
              <w:t xml:space="preserve">The </w:t>
            </w:r>
            <w:r w:rsidRPr="00E32B97">
              <w:t>qualified RPF or biologist</w:t>
            </w:r>
            <w:r>
              <w:t xml:space="preserve"> will delineate the boundaries of federally protected wetlands according to </w:t>
            </w:r>
            <w:r w:rsidRPr="00F4210C">
              <w:t>methods established in the USACE wetlands delineation manual (Environmental Laboratory 1987) and</w:t>
            </w:r>
            <w:r>
              <w:t xml:space="preserve"> the appropriate regional supplement for the ecoregion in which the treatment is being implemented.</w:t>
            </w:r>
          </w:p>
          <w:p w14:paraId="0A7C3744" w14:textId="77777777" w:rsidR="00C44ECD" w:rsidRDefault="00C44ECD" w:rsidP="000E58C3">
            <w:pPr>
              <w:pStyle w:val="TableBullet2"/>
            </w:pPr>
            <w:r>
              <w:t xml:space="preserve">The </w:t>
            </w:r>
            <w:r w:rsidRPr="00E32B97">
              <w:t>qualified RPF or biologist</w:t>
            </w:r>
            <w:r>
              <w:t xml:space="preserve"> will delineate the boundaries of wetlands that </w:t>
            </w:r>
            <w:r w:rsidRPr="00F4210C">
              <w:t>may not meet the definition of waters of the United States, but would qualify as waters of the state</w:t>
            </w:r>
            <w:r>
              <w:t>, according to the state wetland procedures (California</w:t>
            </w:r>
            <w:r w:rsidRPr="0050467C">
              <w:t xml:space="preserve"> Water Board</w:t>
            </w:r>
            <w:r>
              <w:t>s</w:t>
            </w:r>
            <w:r w:rsidRPr="0050467C">
              <w:t xml:space="preserve"> 2019</w:t>
            </w:r>
            <w:r>
              <w:t xml:space="preserve"> or current procedures</w:t>
            </w:r>
            <w:r w:rsidRPr="0050467C">
              <w:t>)</w:t>
            </w:r>
            <w:r>
              <w:t>.</w:t>
            </w:r>
          </w:p>
          <w:p w14:paraId="5A60EB17" w14:textId="77777777" w:rsidR="00C44ECD" w:rsidRPr="00E32B97" w:rsidRDefault="00C44ECD" w:rsidP="000E58C3">
            <w:pPr>
              <w:pStyle w:val="TableBullet2"/>
            </w:pPr>
            <w:r>
              <w:t>A</w:t>
            </w:r>
            <w:r w:rsidRPr="00E32B97">
              <w:t xml:space="preserve"> qualified RPF or biologist</w:t>
            </w:r>
            <w:r>
              <w:t xml:space="preserve"> </w:t>
            </w:r>
            <w:r w:rsidRPr="00E32B97">
              <w:t xml:space="preserve">will </w:t>
            </w:r>
            <w:bookmarkEnd w:id="93"/>
            <w:r w:rsidRPr="00E32B97">
              <w:t>establish a buffer around wetlands and mark the buffer boundary with high-visibility flagging, fencing, stakes, or clear, existing landscape demarcations (e.g., edge of a roadway). The</w:t>
            </w:r>
            <w:r>
              <w:t xml:space="preserve"> buffer will be a minimum width of 25 feet but</w:t>
            </w:r>
            <w:r w:rsidRPr="00E32B97">
              <w:t xml:space="preserve"> </w:t>
            </w:r>
            <w:r>
              <w:t xml:space="preserve">may be larger if deemed necessary. The </w:t>
            </w:r>
            <w:r w:rsidRPr="00E32B97">
              <w:t xml:space="preserve">appropriate size and shape of the buffer zone will be determined in coordination with the qualified RPF or biologist and will depend on the type of wetland present (e.g., seasonal wetland, wet meadow, freshwater marsh, vernal pool), the timing of treatment (e.g., wet or dry time of year), whether </w:t>
            </w:r>
            <w:r>
              <w:t xml:space="preserve">any </w:t>
            </w:r>
            <w:r w:rsidRPr="00E32B97">
              <w:t xml:space="preserve">special-status species may occupy the wetland and </w:t>
            </w:r>
            <w:r>
              <w:t>the</w:t>
            </w:r>
            <w:r w:rsidRPr="00E32B97">
              <w:t xml:space="preserve"> species</w:t>
            </w:r>
            <w:r>
              <w:t>’ vulnerability to the treatment activities</w:t>
            </w:r>
            <w:r w:rsidRPr="00E32B97">
              <w:t>, environmental conditions and terrain, and the treatment activity being implemented.</w:t>
            </w:r>
            <w:r>
              <w:t xml:space="preserve"> </w:t>
            </w:r>
          </w:p>
          <w:p w14:paraId="5327C4D2" w14:textId="77777777" w:rsidR="00C44ECD" w:rsidRDefault="00C44ECD" w:rsidP="000E58C3">
            <w:pPr>
              <w:pStyle w:val="TableBullet2"/>
            </w:pPr>
            <w:r w:rsidRPr="00E32B97">
              <w:lastRenderedPageBreak/>
              <w:t xml:space="preserve">A </w:t>
            </w:r>
            <w:r>
              <w:t xml:space="preserve">qualified RPF or </w:t>
            </w:r>
            <w:r w:rsidRPr="00E32B97">
              <w:t xml:space="preserve">biological </w:t>
            </w:r>
            <w:r>
              <w:t>technician</w:t>
            </w:r>
            <w:r w:rsidRPr="00E32B97">
              <w:t xml:space="preserve"> will periodically inspect the materials demarcating the buffer to confirm that they are intact and visible, and wetland impacts are being avoided.</w:t>
            </w:r>
          </w:p>
          <w:p w14:paraId="37B6829B" w14:textId="77777777" w:rsidR="00C44ECD" w:rsidRDefault="00C44ECD" w:rsidP="000E58C3">
            <w:pPr>
              <w:pStyle w:val="TableBullet2"/>
            </w:pPr>
            <w:r>
              <w:t>Within this buffer, herbicide application is prohibited.</w:t>
            </w:r>
          </w:p>
          <w:p w14:paraId="6FBD57BC" w14:textId="77777777" w:rsidR="00C44ECD" w:rsidRDefault="00C44ECD" w:rsidP="000E58C3">
            <w:pPr>
              <w:pStyle w:val="TableBullet2"/>
            </w:pPr>
            <w:r>
              <w:t xml:space="preserve">Within this buffer, soil disturbance is prohibited. Accordingly, the following activities are not allowed within the buffer zone: mechanical treatments, prescribed herbivory, equipment and vehicle access or staging. </w:t>
            </w:r>
          </w:p>
          <w:p w14:paraId="4DDBC8EC" w14:textId="77777777" w:rsidR="00C44ECD" w:rsidRDefault="00C44ECD" w:rsidP="000E58C3">
            <w:pPr>
              <w:pStyle w:val="TableBullet2"/>
            </w:pPr>
            <w:r>
              <w:t xml:space="preserve">Only prescribed (broadcast) burning may be implemented in wetland habitats if it is determined by a </w:t>
            </w:r>
            <w:r w:rsidRPr="00E32B97">
              <w:t>qualified RPF or biologist</w:t>
            </w:r>
            <w:r>
              <w:t xml:space="preserve"> that:</w:t>
            </w:r>
          </w:p>
          <w:p w14:paraId="03B7E8DE" w14:textId="77777777" w:rsidR="00C44ECD" w:rsidRDefault="00C44ECD" w:rsidP="000E58C3">
            <w:pPr>
              <w:pStyle w:val="TableBullet2"/>
            </w:pPr>
            <w:r>
              <w:t>No special-status species are present in the wetland habitat</w:t>
            </w:r>
          </w:p>
          <w:p w14:paraId="416D4C0A" w14:textId="77777777" w:rsidR="00C44ECD" w:rsidRDefault="00C44ECD" w:rsidP="000E58C3">
            <w:pPr>
              <w:pStyle w:val="TableBullet2"/>
            </w:pPr>
            <w:r>
              <w:t xml:space="preserve">The wetland habitat function would be maintained. </w:t>
            </w:r>
          </w:p>
          <w:p w14:paraId="190AE8BD" w14:textId="77777777" w:rsidR="00C44ECD" w:rsidRDefault="00C44ECD" w:rsidP="000E58C3">
            <w:pPr>
              <w:pStyle w:val="TableBullet2"/>
            </w:pPr>
            <w:r>
              <w:t>The prescribed burn is within the normal fire return interval for the wetland vegetation types present</w:t>
            </w:r>
          </w:p>
          <w:p w14:paraId="63D2301B" w14:textId="77777777" w:rsidR="00C44ECD" w:rsidRPr="000E58C3" w:rsidRDefault="00C44ECD" w:rsidP="000E58C3">
            <w:pPr>
              <w:pStyle w:val="TableBullet2"/>
            </w:pPr>
            <w:r w:rsidRPr="000E58C3">
              <w:t xml:space="preserve">Fire containment lines and pile burning are prohibited within the buffer. </w:t>
            </w:r>
          </w:p>
          <w:p w14:paraId="7AD6A39A" w14:textId="4407803B" w:rsidR="000E58C3" w:rsidRPr="005B3573" w:rsidRDefault="000E58C3" w:rsidP="00183DE0">
            <w:pPr>
              <w:pStyle w:val="TableBullet2"/>
            </w:pPr>
            <w:r w:rsidRPr="007058AB">
              <w:rPr>
                <w:u w:val="single"/>
              </w:rPr>
              <w:t>No fire ignition (and associated use of accelerants) will occur within the wetland buffer</w:t>
            </w:r>
            <w:r>
              <w:t>.</w:t>
            </w:r>
          </w:p>
        </w:tc>
        <w:tc>
          <w:tcPr>
            <w:tcW w:w="938" w:type="dxa"/>
          </w:tcPr>
          <w:p w14:paraId="7FEE82D1" w14:textId="77777777" w:rsidR="00462E42" w:rsidRDefault="00462E42" w:rsidP="00462E42">
            <w:pPr>
              <w:pStyle w:val="TableTextL"/>
              <w:jc w:val="center"/>
            </w:pPr>
            <w:r>
              <w:lastRenderedPageBreak/>
              <w:t>LTS</w:t>
            </w:r>
          </w:p>
          <w:p w14:paraId="7C1D7CEA" w14:textId="77777777" w:rsidR="00462E42" w:rsidRDefault="00462E42" w:rsidP="00462E42">
            <w:pPr>
              <w:pStyle w:val="TableTextL"/>
              <w:jc w:val="center"/>
            </w:pPr>
            <w:r>
              <w:t>(in rivers, streams, lakes)</w:t>
            </w:r>
          </w:p>
          <w:p w14:paraId="570BEF77" w14:textId="77777777" w:rsidR="00462E42" w:rsidRDefault="00462E42" w:rsidP="0090779A">
            <w:pPr>
              <w:pStyle w:val="TableTextL"/>
              <w:jc w:val="center"/>
            </w:pPr>
          </w:p>
          <w:p w14:paraId="41F056E0" w14:textId="5AE9D136" w:rsidR="00732126" w:rsidRDefault="009F757E" w:rsidP="0090779A">
            <w:pPr>
              <w:pStyle w:val="TableTextL"/>
              <w:jc w:val="center"/>
            </w:pPr>
            <w:r>
              <w:t>LTS</w:t>
            </w:r>
            <w:r w:rsidR="00907C5C">
              <w:t>M</w:t>
            </w:r>
          </w:p>
          <w:p w14:paraId="174F4C20" w14:textId="3C41AFBC" w:rsidR="00907C5C" w:rsidRPr="005B3573" w:rsidRDefault="00907C5C" w:rsidP="0090779A">
            <w:pPr>
              <w:pStyle w:val="TableTextL"/>
              <w:jc w:val="center"/>
            </w:pPr>
            <w:r>
              <w:t>(in wetlands, vernal pools)</w:t>
            </w:r>
          </w:p>
        </w:tc>
      </w:tr>
      <w:tr w:rsidR="00732126" w:rsidRPr="005B3573" w14:paraId="2EF3B983" w14:textId="77777777" w:rsidTr="002B7098">
        <w:trPr>
          <w:jc w:val="center"/>
        </w:trPr>
        <w:tc>
          <w:tcPr>
            <w:tcW w:w="5856" w:type="dxa"/>
          </w:tcPr>
          <w:p w14:paraId="0F9DF7F8" w14:textId="38E22E1B" w:rsidR="00732126" w:rsidRPr="009F757E" w:rsidRDefault="009F757E" w:rsidP="0090779A">
            <w:pPr>
              <w:pStyle w:val="TableTextL"/>
              <w:rPr>
                <w:b/>
                <w:bCs/>
              </w:rPr>
            </w:pPr>
            <w:r w:rsidRPr="009F757E">
              <w:rPr>
                <w:b/>
                <w:bCs/>
              </w:rPr>
              <w:lastRenderedPageBreak/>
              <w:t>Amphibians and Reptiles</w:t>
            </w:r>
          </w:p>
        </w:tc>
        <w:tc>
          <w:tcPr>
            <w:tcW w:w="993" w:type="dxa"/>
          </w:tcPr>
          <w:p w14:paraId="6CF18678" w14:textId="77777777" w:rsidR="00907C5C" w:rsidRDefault="00907C5C" w:rsidP="00907C5C">
            <w:pPr>
              <w:pStyle w:val="TableTextL"/>
              <w:jc w:val="center"/>
            </w:pPr>
            <w:r>
              <w:t>LTS</w:t>
            </w:r>
          </w:p>
          <w:p w14:paraId="08C097BE" w14:textId="473E1339" w:rsidR="00907C5C" w:rsidRDefault="00907C5C" w:rsidP="00907C5C">
            <w:pPr>
              <w:pStyle w:val="TableTextL"/>
              <w:jc w:val="center"/>
            </w:pPr>
            <w:r>
              <w:t>(in rivers, streams, lakes)</w:t>
            </w:r>
          </w:p>
          <w:p w14:paraId="337442B5" w14:textId="77777777" w:rsidR="00462E42" w:rsidRDefault="00462E42" w:rsidP="00907C5C">
            <w:pPr>
              <w:pStyle w:val="TableTextL"/>
              <w:jc w:val="center"/>
            </w:pPr>
          </w:p>
          <w:p w14:paraId="5F8A0819" w14:textId="77777777" w:rsidR="00907C5C" w:rsidRDefault="00907C5C" w:rsidP="00907C5C">
            <w:pPr>
              <w:pStyle w:val="TableTextL"/>
              <w:jc w:val="center"/>
            </w:pPr>
            <w:r>
              <w:t>PS</w:t>
            </w:r>
          </w:p>
          <w:p w14:paraId="3A3E9F9D" w14:textId="1487C0C6" w:rsidR="00732126" w:rsidRPr="005B3573" w:rsidRDefault="00907C5C" w:rsidP="00907C5C">
            <w:pPr>
              <w:pStyle w:val="TableTextL"/>
              <w:jc w:val="center"/>
            </w:pPr>
            <w:r>
              <w:t>(in wetlands, vernal pools, associated riparian)</w:t>
            </w:r>
          </w:p>
        </w:tc>
        <w:tc>
          <w:tcPr>
            <w:tcW w:w="5893" w:type="dxa"/>
          </w:tcPr>
          <w:p w14:paraId="14ACAC1D" w14:textId="77777777" w:rsidR="009F757E" w:rsidRPr="004D7357" w:rsidRDefault="009F757E" w:rsidP="009F757E">
            <w:pPr>
              <w:pStyle w:val="TableTextL"/>
              <w:spacing w:after="60"/>
              <w:rPr>
                <w:b/>
                <w:bCs/>
              </w:rPr>
            </w:pPr>
            <w:r w:rsidRPr="004D7357">
              <w:rPr>
                <w:b/>
                <w:bCs/>
              </w:rPr>
              <w:t>Mitigation Measure BIO-2a: Avoid Mortality, Injury, or Disturbance and Maintain Habitat Function for Listed Wildlife Species and California Fully Protected Species (All Treatment Activities)</w:t>
            </w:r>
          </w:p>
          <w:p w14:paraId="3F539D71" w14:textId="77777777" w:rsidR="009F757E" w:rsidRPr="004D7357" w:rsidRDefault="009F757E" w:rsidP="009F757E">
            <w:pPr>
              <w:pStyle w:val="TableTextL"/>
              <w:spacing w:after="60"/>
              <w:rPr>
                <w:b/>
                <w:bCs/>
              </w:rPr>
            </w:pPr>
            <w:r w:rsidRPr="004D7357">
              <w:rPr>
                <w:b/>
                <w:bCs/>
              </w:rPr>
              <w:t>Mitigation Measure BIO-2b: Avoid Mortality, Injury, or Disturbance and Maintain Habitat Function for Other Special-Status Wildlife Species (All Treatment Activities)</w:t>
            </w:r>
          </w:p>
          <w:p w14:paraId="05CBC7C7" w14:textId="77777777" w:rsidR="009F757E" w:rsidRPr="003369EC" w:rsidRDefault="009F757E" w:rsidP="009F757E">
            <w:pPr>
              <w:pStyle w:val="TableTextL"/>
              <w:spacing w:after="60"/>
              <w:rPr>
                <w:b/>
                <w:bCs/>
                <w:spacing w:val="-2"/>
              </w:rPr>
            </w:pPr>
            <w:r w:rsidRPr="003369EC">
              <w:rPr>
                <w:b/>
                <w:bCs/>
                <w:spacing w:val="-2"/>
              </w:rPr>
              <w:t>Mitigation Measure BIO-2c: Compensate for Mortality, Injury, or Disturbance and Loss of Habitat Function for Special-Status Wildlife if Applicable (All Treatment Activities)</w:t>
            </w:r>
          </w:p>
          <w:p w14:paraId="75BBDAF5" w14:textId="77777777" w:rsidR="009F757E" w:rsidRPr="004D7357" w:rsidRDefault="009F757E" w:rsidP="009F757E">
            <w:pPr>
              <w:pStyle w:val="TableTextL"/>
              <w:spacing w:after="60"/>
              <w:rPr>
                <w:b/>
                <w:bCs/>
              </w:rPr>
            </w:pPr>
            <w:r w:rsidRPr="004D7357">
              <w:rPr>
                <w:b/>
                <w:bCs/>
              </w:rPr>
              <w:t xml:space="preserve">Mitigation Measure BIO-3a: Design Treatments to Avoid Loss of Sensitive Natural Communities and Oak Woodlands </w:t>
            </w:r>
          </w:p>
          <w:p w14:paraId="42CBD5A6" w14:textId="77777777" w:rsidR="009F757E" w:rsidRPr="004D7357" w:rsidRDefault="009F757E" w:rsidP="009F757E">
            <w:pPr>
              <w:pStyle w:val="TableTextL"/>
              <w:spacing w:after="60"/>
              <w:rPr>
                <w:b/>
                <w:bCs/>
              </w:rPr>
            </w:pPr>
            <w:r w:rsidRPr="004D7357">
              <w:rPr>
                <w:b/>
                <w:bCs/>
              </w:rPr>
              <w:t xml:space="preserve">Mitigation Measure BIO-3b: Compensate for Loss of Sensitive Natural Communities and Oak Woodlands </w:t>
            </w:r>
          </w:p>
          <w:p w14:paraId="20D029D5" w14:textId="77777777" w:rsidR="009F757E" w:rsidRDefault="009F757E" w:rsidP="009F757E">
            <w:pPr>
              <w:pStyle w:val="TableTextL"/>
              <w:spacing w:after="60"/>
              <w:rPr>
                <w:b/>
                <w:bCs/>
              </w:rPr>
            </w:pPr>
            <w:r w:rsidRPr="004D7357">
              <w:rPr>
                <w:b/>
                <w:bCs/>
              </w:rPr>
              <w:t>Mitigation Measure BIO-3c: Compensate for Unavoidable Loss of Riparian Habitat</w:t>
            </w:r>
          </w:p>
          <w:p w14:paraId="0F7E1E8F" w14:textId="46ABE5D0" w:rsidR="00732126" w:rsidRPr="005B3573" w:rsidRDefault="009F757E" w:rsidP="009F757E">
            <w:pPr>
              <w:pStyle w:val="TableTextL"/>
            </w:pPr>
            <w:r w:rsidRPr="00C44ECD">
              <w:rPr>
                <w:b/>
                <w:bCs/>
              </w:rPr>
              <w:t>Mitigation Measure BIO-4: Avoid State and Federally Protected Wetlands</w:t>
            </w:r>
          </w:p>
        </w:tc>
        <w:tc>
          <w:tcPr>
            <w:tcW w:w="938" w:type="dxa"/>
          </w:tcPr>
          <w:p w14:paraId="4ABF4460" w14:textId="77777777" w:rsidR="00462E42" w:rsidRDefault="00462E42" w:rsidP="00462E42">
            <w:pPr>
              <w:pStyle w:val="TableTextL"/>
              <w:jc w:val="center"/>
            </w:pPr>
            <w:r>
              <w:t>LTS</w:t>
            </w:r>
          </w:p>
          <w:p w14:paraId="26AEE135" w14:textId="77777777" w:rsidR="00462E42" w:rsidRDefault="00462E42" w:rsidP="00462E42">
            <w:pPr>
              <w:pStyle w:val="TableTextL"/>
              <w:jc w:val="center"/>
            </w:pPr>
            <w:r>
              <w:t>(in rivers, streams, lakes)</w:t>
            </w:r>
          </w:p>
          <w:p w14:paraId="1E0268ED" w14:textId="2EC918CA" w:rsidR="00462E42" w:rsidRDefault="00462E42" w:rsidP="00462E42">
            <w:pPr>
              <w:pStyle w:val="TableTextL"/>
              <w:jc w:val="center"/>
            </w:pPr>
          </w:p>
          <w:p w14:paraId="73C8DA24" w14:textId="424E0C63" w:rsidR="00462E42" w:rsidRDefault="00462E42" w:rsidP="00462E42">
            <w:pPr>
              <w:pStyle w:val="TableTextL"/>
              <w:jc w:val="center"/>
            </w:pPr>
            <w:r>
              <w:t>LTSM</w:t>
            </w:r>
          </w:p>
          <w:p w14:paraId="7467033A" w14:textId="5D800830" w:rsidR="00732126" w:rsidRPr="005B3573" w:rsidRDefault="00462E42" w:rsidP="00462E42">
            <w:pPr>
              <w:pStyle w:val="TableTextL"/>
              <w:jc w:val="center"/>
            </w:pPr>
            <w:r>
              <w:t>(in wetlands, vernal pools, associated riparian)</w:t>
            </w:r>
          </w:p>
        </w:tc>
      </w:tr>
      <w:tr w:rsidR="00C44ECD" w:rsidRPr="005B3573" w14:paraId="72459FC3" w14:textId="77777777" w:rsidTr="002B7098">
        <w:trPr>
          <w:jc w:val="center"/>
        </w:trPr>
        <w:tc>
          <w:tcPr>
            <w:tcW w:w="5856" w:type="dxa"/>
          </w:tcPr>
          <w:p w14:paraId="74CEE841" w14:textId="77777777" w:rsidR="0036768C" w:rsidRPr="0036768C" w:rsidRDefault="0036768C" w:rsidP="0036768C">
            <w:pPr>
              <w:pStyle w:val="TableTextL"/>
              <w:rPr>
                <w:b/>
                <w:bCs/>
              </w:rPr>
            </w:pPr>
            <w:r w:rsidRPr="0036768C">
              <w:rPr>
                <w:b/>
                <w:bCs/>
              </w:rPr>
              <w:lastRenderedPageBreak/>
              <w:t>Impact BIO-3: Substantially Affect Riparian Habitat or Other Sensitive Natural Community Through Direct Loss or Degradation that Leads to Loss of Habitat Function</w:t>
            </w:r>
          </w:p>
          <w:p w14:paraId="257A5576" w14:textId="40B10080" w:rsidR="00C44ECD" w:rsidRPr="00732126" w:rsidRDefault="0036768C" w:rsidP="0036768C">
            <w:pPr>
              <w:pStyle w:val="TableTextL"/>
            </w:pPr>
            <w:r>
              <w:t>Vegetation treatment activities could result in loss or degradation of sensitive habitats, including designated sensitive natural communities, riparian habitats, and oak woodlands. Implementation of SPRs BIO-1, BIO-2, BIO-3, BIO-4, BIO-5, BIO-6, BIO-8, BIO-9, and HYD-4 require that potential sensitive natural communities and other sensitive habitats be identified and protected prior to implementing treatments. Implementation of SPR BIO-5 would avoid environmental effects of type conversion in chaparral and coastal sage scrub habitats. While SPRs would minimize impacts, treatment activities could still result in a loss of acreage of sensitive natural communities and habitats, eliminate sensitive natural communities or habitats from a treatment area, or reduce the habitat value or function of sensitive natural communities and habitats. Many riparian, chaparral, and coastal sage scrub habitats are also designated sensitive natural communities and are considered ESHAs in the coastal zone. Sensitive natural communities (vegetation alliances with state or global rarity ranks 1, 2, or 3) are also considered ESHAs in the coastal zone. Loss or degradation of sensitive natural communities and sensitive habitats would be a potentially significant impact.</w:t>
            </w:r>
          </w:p>
        </w:tc>
        <w:tc>
          <w:tcPr>
            <w:tcW w:w="993" w:type="dxa"/>
          </w:tcPr>
          <w:p w14:paraId="612D449D" w14:textId="2BFA64E7" w:rsidR="00C44ECD" w:rsidRPr="005B3573" w:rsidRDefault="0036768C" w:rsidP="0090779A">
            <w:pPr>
              <w:pStyle w:val="TableTextL"/>
              <w:jc w:val="center"/>
            </w:pPr>
            <w:r>
              <w:t>PS</w:t>
            </w:r>
          </w:p>
        </w:tc>
        <w:tc>
          <w:tcPr>
            <w:tcW w:w="5893" w:type="dxa"/>
          </w:tcPr>
          <w:p w14:paraId="3EE86926" w14:textId="77777777" w:rsidR="0036768C" w:rsidRPr="004D7357" w:rsidRDefault="0036768C" w:rsidP="0036768C">
            <w:pPr>
              <w:pStyle w:val="TableTextL"/>
              <w:spacing w:after="60"/>
              <w:rPr>
                <w:b/>
                <w:bCs/>
              </w:rPr>
            </w:pPr>
            <w:r w:rsidRPr="004D7357">
              <w:rPr>
                <w:b/>
                <w:bCs/>
              </w:rPr>
              <w:t xml:space="preserve">Mitigation Measure BIO-3a: Design Treatments to Avoid Loss of Sensitive Natural Communities and Oak Woodlands </w:t>
            </w:r>
          </w:p>
          <w:p w14:paraId="7516B510" w14:textId="77777777" w:rsidR="0036768C" w:rsidRPr="004D7357" w:rsidRDefault="0036768C" w:rsidP="0036768C">
            <w:pPr>
              <w:pStyle w:val="TableTextL"/>
              <w:spacing w:after="60"/>
              <w:rPr>
                <w:b/>
                <w:bCs/>
              </w:rPr>
            </w:pPr>
            <w:r w:rsidRPr="004D7357">
              <w:rPr>
                <w:b/>
                <w:bCs/>
              </w:rPr>
              <w:t xml:space="preserve">Mitigation Measure BIO-3b: Compensate for Loss of Sensitive Natural Communities and Oak Woodlands </w:t>
            </w:r>
          </w:p>
          <w:p w14:paraId="20AE3672" w14:textId="032D1F73" w:rsidR="00C44ECD" w:rsidRPr="005B3573" w:rsidRDefault="0036768C" w:rsidP="0036768C">
            <w:pPr>
              <w:pStyle w:val="TableTextL"/>
            </w:pPr>
            <w:r w:rsidRPr="004D7357">
              <w:rPr>
                <w:b/>
                <w:bCs/>
              </w:rPr>
              <w:t>Mitigation Measure BIO-3c: Compensate for Unavoidable Loss of Riparian Habitat</w:t>
            </w:r>
          </w:p>
        </w:tc>
        <w:tc>
          <w:tcPr>
            <w:tcW w:w="938" w:type="dxa"/>
          </w:tcPr>
          <w:p w14:paraId="566B6D1C" w14:textId="0E2FDACC" w:rsidR="00C44ECD" w:rsidRPr="005B3573" w:rsidRDefault="0036768C" w:rsidP="0090779A">
            <w:pPr>
              <w:pStyle w:val="TableTextL"/>
              <w:jc w:val="center"/>
            </w:pPr>
            <w:r>
              <w:t>LTS</w:t>
            </w:r>
            <w:r w:rsidR="00462E42">
              <w:t>M</w:t>
            </w:r>
          </w:p>
        </w:tc>
      </w:tr>
      <w:tr w:rsidR="00C44ECD" w:rsidRPr="005B3573" w14:paraId="38217F22" w14:textId="77777777" w:rsidTr="002B7098">
        <w:trPr>
          <w:jc w:val="center"/>
        </w:trPr>
        <w:tc>
          <w:tcPr>
            <w:tcW w:w="5856" w:type="dxa"/>
          </w:tcPr>
          <w:p w14:paraId="71A8C342" w14:textId="77777777" w:rsidR="0036768C" w:rsidRPr="0036768C" w:rsidRDefault="0036768C" w:rsidP="0036768C">
            <w:pPr>
              <w:pStyle w:val="TableTextL"/>
              <w:rPr>
                <w:b/>
                <w:bCs/>
              </w:rPr>
            </w:pPr>
            <w:r w:rsidRPr="0036768C">
              <w:rPr>
                <w:b/>
                <w:bCs/>
              </w:rPr>
              <w:t>Impact BIO-4: Substantially Affect State or Federally Protected Wetlands</w:t>
            </w:r>
          </w:p>
          <w:p w14:paraId="541AED1E" w14:textId="72579C3B" w:rsidR="00C44ECD" w:rsidRPr="00732126" w:rsidRDefault="0036768C" w:rsidP="0036768C">
            <w:pPr>
              <w:pStyle w:val="TableTextL"/>
            </w:pPr>
            <w:r>
              <w:t>Treatment activities proposed under the CalVTP could occur on lands that contain state or federally protected wetlands; these activities could remove wetland vegetation and alter wetland hydrology or topography resulting in loss or degradation of wetland function. Implementation of SPRs BIO-1 and HYD-4 require that potential wetlands be identified and protected prior to implementing treatments. While implementation of SPRs would minimize impacts, treatment activities could inadvertently destroy or adversely modify protected wetlands resulting in loss of these resources. Additionally, prescribed burning would result in direct removal of wetland vegetation that could adversely modify wetland functions and reduce wetland values. If this occurred, it would be a potentially significant impact.</w:t>
            </w:r>
          </w:p>
        </w:tc>
        <w:tc>
          <w:tcPr>
            <w:tcW w:w="993" w:type="dxa"/>
          </w:tcPr>
          <w:p w14:paraId="280772CA" w14:textId="07A664F8" w:rsidR="00C44ECD" w:rsidRPr="005B3573" w:rsidRDefault="0036768C" w:rsidP="0090779A">
            <w:pPr>
              <w:pStyle w:val="TableTextL"/>
              <w:jc w:val="center"/>
            </w:pPr>
            <w:r>
              <w:t>PS</w:t>
            </w:r>
          </w:p>
        </w:tc>
        <w:tc>
          <w:tcPr>
            <w:tcW w:w="5893" w:type="dxa"/>
          </w:tcPr>
          <w:p w14:paraId="40CB6F86" w14:textId="56673827" w:rsidR="00C44ECD" w:rsidRPr="005B3573" w:rsidRDefault="0036768C" w:rsidP="0090779A">
            <w:pPr>
              <w:pStyle w:val="TableTextL"/>
            </w:pPr>
            <w:r w:rsidRPr="00C44ECD">
              <w:rPr>
                <w:b/>
                <w:bCs/>
              </w:rPr>
              <w:t>Mitigation Measure BIO-4: Avoid State and Federally Protected Wetlands</w:t>
            </w:r>
          </w:p>
        </w:tc>
        <w:tc>
          <w:tcPr>
            <w:tcW w:w="938" w:type="dxa"/>
          </w:tcPr>
          <w:p w14:paraId="57822DBD" w14:textId="5CE96AB2" w:rsidR="00C44ECD" w:rsidRPr="005B3573" w:rsidRDefault="0036768C" w:rsidP="0090779A">
            <w:pPr>
              <w:pStyle w:val="TableTextL"/>
              <w:jc w:val="center"/>
            </w:pPr>
            <w:r>
              <w:t>LTS</w:t>
            </w:r>
            <w:r w:rsidR="00462E42">
              <w:t>M</w:t>
            </w:r>
          </w:p>
        </w:tc>
      </w:tr>
      <w:tr w:rsidR="00C44ECD" w:rsidRPr="005B3573" w14:paraId="7117862A" w14:textId="77777777" w:rsidTr="002B7098">
        <w:trPr>
          <w:jc w:val="center"/>
        </w:trPr>
        <w:tc>
          <w:tcPr>
            <w:tcW w:w="5856" w:type="dxa"/>
          </w:tcPr>
          <w:p w14:paraId="231D46A4" w14:textId="77777777" w:rsidR="0036768C" w:rsidRPr="0036768C" w:rsidRDefault="0036768C" w:rsidP="00183DE0">
            <w:pPr>
              <w:pStyle w:val="TableTextL"/>
              <w:keepNext/>
              <w:keepLines/>
              <w:rPr>
                <w:b/>
                <w:bCs/>
              </w:rPr>
            </w:pPr>
            <w:r w:rsidRPr="0036768C">
              <w:rPr>
                <w:b/>
                <w:bCs/>
              </w:rPr>
              <w:lastRenderedPageBreak/>
              <w:t xml:space="preserve">Impact BIO-5: </w:t>
            </w:r>
            <w:bookmarkStart w:id="94" w:name="_Hlk25230693"/>
            <w:r w:rsidRPr="0036768C">
              <w:rPr>
                <w:b/>
                <w:bCs/>
              </w:rPr>
              <w:t>Interfere Substantially with Wildlife Movement Corridors or Impede Use of Nurseries</w:t>
            </w:r>
            <w:bookmarkEnd w:id="94"/>
          </w:p>
          <w:p w14:paraId="70C35951" w14:textId="352BCC35" w:rsidR="00C44ECD" w:rsidRPr="00732126" w:rsidRDefault="0036768C" w:rsidP="00183DE0">
            <w:pPr>
              <w:pStyle w:val="TableTextL"/>
              <w:keepNext/>
              <w:keepLines/>
            </w:pPr>
            <w:r>
              <w:t>Vegetation treatment activities implemented under the CalVTP could be located in areas used as wildlife movement corridors or nurseries. Treatment-related noise and disturbance could lead to temporary changes in migration or movement patterns, and fencing for prescribed herbivory could potentially injure or impede moving wildlife. Wildlife nursery sites could be disturbed or essential nursery habitat components could be degraded by vegetation treatment activities. SPRs BIO-1, BIO-4, BIO-5, BIO-10, BIO-11, HYD-1, and HYD-4 require identification of nursery sites prior to treatment activities, actions to prevent degradation of aquatic and riparian corridors, and installation of wildlife-friendly fencing to avoid entanglement during wildlife movement. Temporary shifts in wildlife movements to avoid or navigate around active treatment sites and associated disturbances would not substantially interfere with movement requirements or migration patterns; and project implementation would not create long-term barriers to local or landscape-level movements. While implementation of SPRs would minimize impacts, nursery sites could still be removed, degraded, or disturbed during treatment activities. This would be a potentially significant impact.</w:t>
            </w:r>
          </w:p>
        </w:tc>
        <w:tc>
          <w:tcPr>
            <w:tcW w:w="993" w:type="dxa"/>
          </w:tcPr>
          <w:p w14:paraId="11466BE5" w14:textId="5040DB15" w:rsidR="00C44ECD" w:rsidRPr="005B3573" w:rsidRDefault="0036768C" w:rsidP="00183DE0">
            <w:pPr>
              <w:pStyle w:val="TableTextL"/>
              <w:keepNext/>
              <w:keepLines/>
              <w:jc w:val="center"/>
            </w:pPr>
            <w:r>
              <w:t>PS</w:t>
            </w:r>
          </w:p>
        </w:tc>
        <w:tc>
          <w:tcPr>
            <w:tcW w:w="5893" w:type="dxa"/>
          </w:tcPr>
          <w:p w14:paraId="37324862" w14:textId="77777777" w:rsidR="0036768C" w:rsidRPr="0036768C" w:rsidRDefault="0036768C" w:rsidP="00183DE0">
            <w:pPr>
              <w:pStyle w:val="TableTextL"/>
              <w:keepNext/>
              <w:keepLines/>
              <w:rPr>
                <w:b/>
                <w:bCs/>
              </w:rPr>
            </w:pPr>
            <w:r w:rsidRPr="0036768C">
              <w:rPr>
                <w:b/>
                <w:bCs/>
              </w:rPr>
              <w:t xml:space="preserve">Mitigation Measure BIO-5: </w:t>
            </w:r>
            <w:bookmarkStart w:id="95" w:name="_Hlk25230710"/>
            <w:r w:rsidRPr="0036768C">
              <w:rPr>
                <w:b/>
                <w:bCs/>
              </w:rPr>
              <w:t>Retain Nursery Habitat and Implement Buffers to Avoid Nursery Sites</w:t>
            </w:r>
            <w:bookmarkEnd w:id="95"/>
          </w:p>
          <w:p w14:paraId="1F0FADC5" w14:textId="77777777" w:rsidR="0036768C" w:rsidRDefault="0036768C" w:rsidP="00183DE0">
            <w:pPr>
              <w:pStyle w:val="TableTextL"/>
              <w:keepNext/>
              <w:keepLines/>
              <w:spacing w:after="60"/>
            </w:pPr>
            <w:r>
              <w:t>The project proponent will implement the following measures while working in treatment areas that contain nursery sites identified in surveys conducted pursuant to SPR BIO-10:</w:t>
            </w:r>
          </w:p>
          <w:p w14:paraId="378A340F" w14:textId="4BFCFB23" w:rsidR="0036768C" w:rsidRDefault="0036768C" w:rsidP="00183DE0">
            <w:pPr>
              <w:pStyle w:val="TableBullet1"/>
              <w:keepNext/>
              <w:keepLines/>
            </w:pPr>
            <w:r>
              <w:t>Retain Known Nursery Sites. A qualified RPF or biologist will identify the important habitat features of the wildlife nursery and, prior to treatment activities, will mark these features for avoidance and retention during treatment.</w:t>
            </w:r>
          </w:p>
          <w:p w14:paraId="55A5E038" w14:textId="7EE5E932" w:rsidR="00C44ECD" w:rsidRPr="005B3573" w:rsidRDefault="004C4E4B" w:rsidP="00183DE0">
            <w:pPr>
              <w:pStyle w:val="TableBullet1"/>
              <w:keepNext/>
              <w:keepLines/>
            </w:pPr>
            <w:r w:rsidRPr="004C4E4B">
              <w:t>Establish Avoidance Buffers</w:t>
            </w:r>
            <w:r>
              <w:rPr>
                <w:b/>
              </w:rPr>
              <w:t>.</w:t>
            </w:r>
            <w:r>
              <w:t xml:space="preserve"> The project proponent will establish a non-disturbance buffer around the nursery site if activities are required while the nursery site is active/occupied. The appropriate size and shape of the buffer will be determined by a qualified RPF or biologist, based on potential effects of project-related habitat disturbance, noise, visual disturbance, and other factors. No treatment activity will commence within the buffer area until a qualified RPF or biologist confirms that the nursery site is no longer active/occupied. Monitoring of the </w:t>
            </w:r>
            <w:r w:rsidRPr="007058AB">
              <w:rPr>
                <w:u w:val="single"/>
              </w:rPr>
              <w:t xml:space="preserve">effectiveness of the non-disturbance buffer around the </w:t>
            </w:r>
            <w:r>
              <w:t>nursery site by a qualified RPF</w:t>
            </w:r>
            <w:r w:rsidRPr="007058AB">
              <w:rPr>
                <w:u w:val="single"/>
              </w:rPr>
              <w:t>, biologist,</w:t>
            </w:r>
            <w:r>
              <w:t xml:space="preserve"> or biological technician during and after treatment activities will be required. If treatment activities cause agitated behavior of the individual(s), the buffer distance will be increased, or treatment activities modified until the agitated behavior stops.</w:t>
            </w:r>
            <w:r w:rsidRPr="007058AB">
              <w:rPr>
                <w:u w:val="single"/>
              </w:rPr>
              <w:t xml:space="preserve"> The qualified RPF, biologist, or biological technician will have the authority to stop any treatment activities that could result in potential adverse effects to special-status species.</w:t>
            </w:r>
          </w:p>
        </w:tc>
        <w:tc>
          <w:tcPr>
            <w:tcW w:w="938" w:type="dxa"/>
          </w:tcPr>
          <w:p w14:paraId="5797AEBE" w14:textId="28B5EF18" w:rsidR="00C44ECD" w:rsidRPr="005B3573" w:rsidRDefault="0036768C" w:rsidP="00183DE0">
            <w:pPr>
              <w:pStyle w:val="TableTextL"/>
              <w:keepNext/>
              <w:keepLines/>
              <w:jc w:val="center"/>
            </w:pPr>
            <w:r>
              <w:t>LTS</w:t>
            </w:r>
            <w:r w:rsidR="00E85ABB">
              <w:t>M</w:t>
            </w:r>
          </w:p>
        </w:tc>
      </w:tr>
      <w:tr w:rsidR="0036768C" w:rsidRPr="005B3573" w14:paraId="69E68ABE" w14:textId="77777777" w:rsidTr="002B7098">
        <w:trPr>
          <w:jc w:val="center"/>
        </w:trPr>
        <w:tc>
          <w:tcPr>
            <w:tcW w:w="5856" w:type="dxa"/>
          </w:tcPr>
          <w:p w14:paraId="5A14E797" w14:textId="781A05D4" w:rsidR="0036768C" w:rsidRPr="0036768C" w:rsidRDefault="0036768C" w:rsidP="0036768C">
            <w:pPr>
              <w:pStyle w:val="TableTextL"/>
              <w:rPr>
                <w:b/>
                <w:bCs/>
              </w:rPr>
            </w:pPr>
            <w:r w:rsidRPr="0036768C">
              <w:rPr>
                <w:b/>
                <w:bCs/>
              </w:rPr>
              <w:t>Impact BIO-6: Substantially Reduce Habitat or Abundance of Common Wildlife</w:t>
            </w:r>
            <w:r w:rsidR="00BA345C">
              <w:rPr>
                <w:b/>
                <w:bCs/>
              </w:rPr>
              <w:t>, Including Nesting Birds</w:t>
            </w:r>
          </w:p>
          <w:p w14:paraId="6EADB157" w14:textId="29F9BF38" w:rsidR="0036768C" w:rsidRPr="00732126" w:rsidRDefault="00EB2F2E" w:rsidP="0036768C">
            <w:pPr>
              <w:pStyle w:val="TableTextL"/>
            </w:pPr>
            <w:r>
              <w:t xml:space="preserve">Vegetation treatments conducted under the CalVTP would occur in habitats that support common native bird, mammal, reptile, amphibian, and invertebrate species. Treatment activities </w:t>
            </w:r>
            <w:r w:rsidRPr="003860D1">
              <w:t xml:space="preserve">could </w:t>
            </w:r>
            <w:r>
              <w:t xml:space="preserve">disturb breeding; remove or damage active nests, dens, and other breeding sites; kill or injure individuals; and temporarily </w:t>
            </w:r>
            <w:r w:rsidRPr="003860D1">
              <w:t xml:space="preserve">reduce breeding productivity </w:t>
            </w:r>
            <w:r>
              <w:t>of</w:t>
            </w:r>
            <w:r w:rsidRPr="003860D1">
              <w:t xml:space="preserve"> </w:t>
            </w:r>
            <w:r>
              <w:t>these species</w:t>
            </w:r>
            <w:r w:rsidRPr="003860D1">
              <w:t xml:space="preserve">. </w:t>
            </w:r>
            <w:r>
              <w:t xml:space="preserve">Because treatments would be implemented within relatively small proportions of the extensive ranges of common species, and suitable habitat would remain available to these species across the broader landscape surrounding treatment areas, the magnitude of these potential losses would not substantially reduce the overall abundance of any </w:t>
            </w:r>
            <w:r>
              <w:lastRenderedPageBreak/>
              <w:t>common wildlife species. Additionally, i</w:t>
            </w:r>
            <w:r>
              <w:rPr>
                <w:rFonts w:eastAsia="Calibri" w:cs="Times New Roman"/>
              </w:rPr>
              <w:t xml:space="preserve">mplementation of SPRs BIO-1, BIO-2, BIO-3, BIO-4, and BIO-5 </w:t>
            </w:r>
            <w:r>
              <w:t xml:space="preserve">would limit the loss or degradation of </w:t>
            </w:r>
            <w:r w:rsidRPr="007058AB">
              <w:rPr>
                <w:strike/>
              </w:rPr>
              <w:t>some</w:t>
            </w:r>
            <w:r>
              <w:t xml:space="preserve"> high-quality breeding habitats for special-status wildlife that would also benefit common species,</w:t>
            </w:r>
            <w:r w:rsidRPr="007058AB">
              <w:rPr>
                <w:u w:val="single"/>
              </w:rPr>
              <w:t xml:space="preserve"> and implementation of SPR </w:t>
            </w:r>
            <w:r w:rsidRPr="007058AB">
              <w:rPr>
                <w:rFonts w:eastAsia="Calibri" w:cs="Times New Roman"/>
                <w:u w:val="single"/>
              </w:rPr>
              <w:t>BIO-12 would protect common nesting birds, including raptors.</w:t>
            </w:r>
            <w:r w:rsidRPr="007058AB">
              <w:rPr>
                <w:u w:val="single"/>
              </w:rPr>
              <w:t xml:space="preserve"> </w:t>
            </w:r>
            <w:r>
              <w:t xml:space="preserve">Therefore, treatment activities would not substantially reduce the population size of or availability of suitable breeding habitat for any common wildlife species, including nesting birds. </w:t>
            </w:r>
            <w:r>
              <w:rPr>
                <w:rFonts w:eastAsia="Calibri" w:cs="Times New Roman"/>
              </w:rPr>
              <w:t xml:space="preserve">This impact would be </w:t>
            </w:r>
            <w:r w:rsidRPr="00EB2F2E">
              <w:rPr>
                <w:rFonts w:eastAsia="Calibri" w:cs="Times New Roman"/>
              </w:rPr>
              <w:t>less than significant.</w:t>
            </w:r>
          </w:p>
        </w:tc>
        <w:tc>
          <w:tcPr>
            <w:tcW w:w="993" w:type="dxa"/>
          </w:tcPr>
          <w:p w14:paraId="18793D56" w14:textId="5B7253EB" w:rsidR="0036768C" w:rsidRPr="005B3573" w:rsidRDefault="0036768C" w:rsidP="0036768C">
            <w:pPr>
              <w:pStyle w:val="TableTextL"/>
              <w:jc w:val="center"/>
            </w:pPr>
            <w:r>
              <w:lastRenderedPageBreak/>
              <w:t>LTS</w:t>
            </w:r>
          </w:p>
        </w:tc>
        <w:tc>
          <w:tcPr>
            <w:tcW w:w="5893" w:type="dxa"/>
          </w:tcPr>
          <w:p w14:paraId="7E32C0EA" w14:textId="4C0A4672" w:rsidR="0036768C" w:rsidRPr="005B3573" w:rsidRDefault="0036768C" w:rsidP="0036768C">
            <w:pPr>
              <w:pStyle w:val="TableTextL"/>
            </w:pPr>
            <w:r>
              <w:t>No mitigation is required.</w:t>
            </w:r>
          </w:p>
        </w:tc>
        <w:tc>
          <w:tcPr>
            <w:tcW w:w="938" w:type="dxa"/>
          </w:tcPr>
          <w:p w14:paraId="7C1FC571" w14:textId="413D68B8" w:rsidR="0036768C" w:rsidRPr="005B3573" w:rsidRDefault="0036768C" w:rsidP="0036768C">
            <w:pPr>
              <w:pStyle w:val="TableTextL"/>
              <w:jc w:val="center"/>
            </w:pPr>
            <w:r>
              <w:t>LTS</w:t>
            </w:r>
          </w:p>
        </w:tc>
      </w:tr>
      <w:tr w:rsidR="0036768C" w:rsidRPr="005B3573" w14:paraId="72708A32" w14:textId="77777777" w:rsidTr="002B7098">
        <w:trPr>
          <w:jc w:val="center"/>
        </w:trPr>
        <w:tc>
          <w:tcPr>
            <w:tcW w:w="5856" w:type="dxa"/>
          </w:tcPr>
          <w:p w14:paraId="3A4A3C68" w14:textId="77777777" w:rsidR="0036768C" w:rsidRPr="003369EC" w:rsidRDefault="0036768C" w:rsidP="0036768C">
            <w:pPr>
              <w:pStyle w:val="TableTextL"/>
              <w:rPr>
                <w:b/>
                <w:bCs/>
                <w:spacing w:val="-4"/>
              </w:rPr>
            </w:pPr>
            <w:r w:rsidRPr="003369EC">
              <w:rPr>
                <w:b/>
                <w:bCs/>
                <w:spacing w:val="-4"/>
              </w:rPr>
              <w:t>Impact BIO-7: Conflict with Local Policies or Ordinances Protecting Biological Resources</w:t>
            </w:r>
          </w:p>
          <w:p w14:paraId="483DB657" w14:textId="4CFC455C" w:rsidR="0036768C" w:rsidRPr="00732126" w:rsidRDefault="0036768C" w:rsidP="0036768C">
            <w:pPr>
              <w:pStyle w:val="TableTextL"/>
            </w:pPr>
            <w:r>
              <w:t>Vegetation treatment projects implemented under the CalVTP that are subject to local policies or ordinances would be required to comply with any applicable county, city, or other local policies, ordinances, and permitting procedures related to protection of biological resources. Additionally, SPR AD-3 (Consistency with Local Plans, Policies, and Ordinances) requires that the project proponent design and implement the treatment in a manner that is consistent with applicable local plans (e.g., general plans), policies, and ordinances to the extent the project is subject to them. Therefore, the CalVTP would result in no impact related to potential conflict with local policies or ordinances protecting biological resources.</w:t>
            </w:r>
          </w:p>
        </w:tc>
        <w:tc>
          <w:tcPr>
            <w:tcW w:w="993" w:type="dxa"/>
          </w:tcPr>
          <w:p w14:paraId="0288F5C2" w14:textId="16468581" w:rsidR="0036768C" w:rsidRPr="005B3573" w:rsidRDefault="0036768C" w:rsidP="0036768C">
            <w:pPr>
              <w:pStyle w:val="TableTextL"/>
              <w:jc w:val="center"/>
            </w:pPr>
            <w:r>
              <w:t>NI</w:t>
            </w:r>
          </w:p>
        </w:tc>
        <w:tc>
          <w:tcPr>
            <w:tcW w:w="5893" w:type="dxa"/>
          </w:tcPr>
          <w:p w14:paraId="5B48D842" w14:textId="1748E7F3" w:rsidR="0036768C" w:rsidRPr="005B3573" w:rsidRDefault="0036768C" w:rsidP="0036768C">
            <w:pPr>
              <w:pStyle w:val="TableTextL"/>
            </w:pPr>
            <w:r>
              <w:t>No mitigation is required.</w:t>
            </w:r>
          </w:p>
        </w:tc>
        <w:tc>
          <w:tcPr>
            <w:tcW w:w="938" w:type="dxa"/>
          </w:tcPr>
          <w:p w14:paraId="149D5272" w14:textId="7F4B5279" w:rsidR="0036768C" w:rsidRPr="005B3573" w:rsidRDefault="0036768C" w:rsidP="0036768C">
            <w:pPr>
              <w:pStyle w:val="TableTextL"/>
              <w:jc w:val="center"/>
            </w:pPr>
            <w:r>
              <w:t>NI</w:t>
            </w:r>
          </w:p>
        </w:tc>
      </w:tr>
      <w:tr w:rsidR="0036768C" w:rsidRPr="005B3573" w14:paraId="6B687F8E" w14:textId="77777777" w:rsidTr="002B7098">
        <w:trPr>
          <w:jc w:val="center"/>
        </w:trPr>
        <w:tc>
          <w:tcPr>
            <w:tcW w:w="5856" w:type="dxa"/>
          </w:tcPr>
          <w:p w14:paraId="1E0F7F87" w14:textId="570DE567" w:rsidR="0036768C" w:rsidRPr="0036768C" w:rsidRDefault="0036768C" w:rsidP="0036768C">
            <w:pPr>
              <w:pStyle w:val="TableTextL"/>
              <w:rPr>
                <w:b/>
                <w:bCs/>
              </w:rPr>
            </w:pPr>
            <w:r w:rsidRPr="0036768C">
              <w:rPr>
                <w:b/>
                <w:bCs/>
              </w:rPr>
              <w:t>Impact BIO-8: Conflict with the Provisions of an Adopted Natural Community Conservation Plan, Habitat Conservation Plan, or Other Approved Habitat Plan</w:t>
            </w:r>
          </w:p>
          <w:p w14:paraId="67C2A24F" w14:textId="539C1171" w:rsidR="0036768C" w:rsidRPr="00732126" w:rsidRDefault="0036768C" w:rsidP="0036768C">
            <w:pPr>
              <w:pStyle w:val="TableTextL"/>
            </w:pPr>
            <w:r>
              <w:t>Several HCPs and NCCPs have been adopted or are being planned for areas within the treatable landscape. Consistency of discretionary projects with an adopted HCP, NCCP, or other conservation plan is a legal requirement; and, the design, approval, and permitting of vegetation treatment projects under the CalVTP within an area covered by an adopted conservation plan would comply with that requirement. Therefore, approved treatment activities would result in no impact related to potential conflict with the provisions of adopted HCPs, NCCPs, or other approved local, regional, or state habitat conservation plans.</w:t>
            </w:r>
          </w:p>
        </w:tc>
        <w:tc>
          <w:tcPr>
            <w:tcW w:w="993" w:type="dxa"/>
          </w:tcPr>
          <w:p w14:paraId="30D9A1EB" w14:textId="1A21208A" w:rsidR="0036768C" w:rsidRPr="005B3573" w:rsidRDefault="0036768C" w:rsidP="0036768C">
            <w:pPr>
              <w:pStyle w:val="TableTextL"/>
              <w:jc w:val="center"/>
            </w:pPr>
            <w:r>
              <w:t>NI</w:t>
            </w:r>
          </w:p>
        </w:tc>
        <w:tc>
          <w:tcPr>
            <w:tcW w:w="5893" w:type="dxa"/>
          </w:tcPr>
          <w:p w14:paraId="28257975" w14:textId="03EA062F" w:rsidR="0036768C" w:rsidRPr="005B3573" w:rsidRDefault="0036768C" w:rsidP="0036768C">
            <w:pPr>
              <w:pStyle w:val="TableTextL"/>
            </w:pPr>
            <w:r>
              <w:t>No mitigation is required.</w:t>
            </w:r>
          </w:p>
        </w:tc>
        <w:tc>
          <w:tcPr>
            <w:tcW w:w="938" w:type="dxa"/>
          </w:tcPr>
          <w:p w14:paraId="40B1431D" w14:textId="43FBE774" w:rsidR="0036768C" w:rsidRPr="005B3573" w:rsidRDefault="0036768C" w:rsidP="0036768C">
            <w:pPr>
              <w:pStyle w:val="TableTextL"/>
              <w:jc w:val="center"/>
            </w:pPr>
            <w:r>
              <w:t>NI</w:t>
            </w:r>
          </w:p>
        </w:tc>
      </w:tr>
      <w:tr w:rsidR="0036768C" w:rsidRPr="005B3573" w14:paraId="2BC1B7B6" w14:textId="77777777" w:rsidTr="003060D2">
        <w:trPr>
          <w:jc w:val="center"/>
        </w:trPr>
        <w:tc>
          <w:tcPr>
            <w:tcW w:w="5856" w:type="dxa"/>
            <w:tcBorders>
              <w:top w:val="single" w:sz="4" w:space="0" w:color="auto"/>
              <w:right w:val="nil"/>
            </w:tcBorders>
            <w:shd w:val="clear" w:color="auto" w:fill="F2F2F2" w:themeFill="background1" w:themeFillShade="F2"/>
          </w:tcPr>
          <w:p w14:paraId="2C20F12B" w14:textId="0513293D" w:rsidR="0036768C" w:rsidRPr="00931675" w:rsidRDefault="0036768C" w:rsidP="0036768C">
            <w:pPr>
              <w:pStyle w:val="TableTextL"/>
              <w:keepNext/>
              <w:rPr>
                <w:b/>
              </w:rPr>
            </w:pPr>
            <w:r w:rsidRPr="00931675">
              <w:rPr>
                <w:b/>
              </w:rPr>
              <w:t xml:space="preserve">Geology, Soils, </w:t>
            </w:r>
            <w:r w:rsidR="00441FFC">
              <w:rPr>
                <w:b/>
                <w:u w:val="single"/>
              </w:rPr>
              <w:t xml:space="preserve">Paleontology, </w:t>
            </w:r>
            <w:r w:rsidRPr="00931675">
              <w:rPr>
                <w:b/>
              </w:rPr>
              <w:t>and Mineral Resources</w:t>
            </w:r>
          </w:p>
        </w:tc>
        <w:tc>
          <w:tcPr>
            <w:tcW w:w="993" w:type="dxa"/>
            <w:tcBorders>
              <w:top w:val="single" w:sz="4" w:space="0" w:color="auto"/>
              <w:left w:val="nil"/>
              <w:right w:val="nil"/>
            </w:tcBorders>
            <w:shd w:val="clear" w:color="auto" w:fill="F2F2F2" w:themeFill="background1" w:themeFillShade="F2"/>
          </w:tcPr>
          <w:p w14:paraId="06D0D338" w14:textId="77777777" w:rsidR="0036768C" w:rsidRPr="005B3573" w:rsidRDefault="0036768C" w:rsidP="0036768C">
            <w:pPr>
              <w:pStyle w:val="TableTextL"/>
              <w:jc w:val="center"/>
              <w:rPr>
                <w:b/>
              </w:rPr>
            </w:pPr>
          </w:p>
        </w:tc>
        <w:tc>
          <w:tcPr>
            <w:tcW w:w="5893" w:type="dxa"/>
            <w:tcBorders>
              <w:top w:val="single" w:sz="4" w:space="0" w:color="auto"/>
              <w:left w:val="nil"/>
              <w:right w:val="nil"/>
            </w:tcBorders>
            <w:shd w:val="clear" w:color="auto" w:fill="F2F2F2" w:themeFill="background1" w:themeFillShade="F2"/>
          </w:tcPr>
          <w:p w14:paraId="1443C198" w14:textId="77777777" w:rsidR="0036768C" w:rsidRPr="005B3573" w:rsidRDefault="0036768C" w:rsidP="0036768C">
            <w:pPr>
              <w:pStyle w:val="TableTextL"/>
              <w:rPr>
                <w:b/>
              </w:rPr>
            </w:pPr>
          </w:p>
        </w:tc>
        <w:tc>
          <w:tcPr>
            <w:tcW w:w="938" w:type="dxa"/>
            <w:tcBorders>
              <w:top w:val="single" w:sz="4" w:space="0" w:color="auto"/>
              <w:left w:val="nil"/>
            </w:tcBorders>
            <w:shd w:val="clear" w:color="auto" w:fill="F2F2F2" w:themeFill="background1" w:themeFillShade="F2"/>
          </w:tcPr>
          <w:p w14:paraId="0666AB2E" w14:textId="77777777" w:rsidR="0036768C" w:rsidRPr="005B3573" w:rsidRDefault="0036768C" w:rsidP="0036768C">
            <w:pPr>
              <w:pStyle w:val="TableTextL"/>
              <w:jc w:val="center"/>
              <w:rPr>
                <w:b/>
              </w:rPr>
            </w:pPr>
          </w:p>
        </w:tc>
      </w:tr>
      <w:tr w:rsidR="0036768C" w:rsidRPr="005B3573" w14:paraId="4FA5A0C9" w14:textId="77777777" w:rsidTr="003060D2">
        <w:trPr>
          <w:jc w:val="center"/>
        </w:trPr>
        <w:tc>
          <w:tcPr>
            <w:tcW w:w="5856" w:type="dxa"/>
          </w:tcPr>
          <w:p w14:paraId="1C4A94F1" w14:textId="77777777" w:rsidR="0036768C" w:rsidRPr="008B1418" w:rsidRDefault="0036768C" w:rsidP="0036768C">
            <w:pPr>
              <w:pStyle w:val="TableTextL"/>
              <w:rPr>
                <w:b/>
                <w:bCs/>
              </w:rPr>
            </w:pPr>
            <w:r w:rsidRPr="008B1418">
              <w:rPr>
                <w:b/>
                <w:bCs/>
              </w:rPr>
              <w:t>Impact GEO-1: Result in Substantial Erosion or Loss of Topsoil</w:t>
            </w:r>
          </w:p>
          <w:p w14:paraId="41B19D34" w14:textId="7440B4CB" w:rsidR="0036768C" w:rsidRPr="00101C28" w:rsidRDefault="0036768C" w:rsidP="0036768C">
            <w:pPr>
              <w:pStyle w:val="TableTextL"/>
              <w:rPr>
                <w:spacing w:val="-1"/>
              </w:rPr>
            </w:pPr>
            <w:r w:rsidRPr="00101C28">
              <w:rPr>
                <w:spacing w:val="-1"/>
              </w:rPr>
              <w:t xml:space="preserve">Treatment activities implemented under the proposed CalVTP may involve the disturbance of soils as well as the reduction in vegetative cover, which has the potential to substantially increase rates of erosion and loss of topsoil. Mechanical treatments using heavy machinery are the most likely to cause soil disturbance </w:t>
            </w:r>
            <w:r w:rsidRPr="00101C28">
              <w:rPr>
                <w:spacing w:val="-1"/>
              </w:rPr>
              <w:lastRenderedPageBreak/>
              <w:t>which could lead to substantial erosion or loss of topsoil especially in areas of steep slopes. In general, it is highly likely that mechanical treatments (relative to other treatment activities) would be utilized for all treatment types in tree fuel types as well as for WUI fuel reduction treatments in shrub fuel types. Additionally, prescribed burning can increase risk of water repellency (Robichaud et al. 2010) and breakdown of soil structure, which can lead to significant increases in erosion. There is a high likelihood that prescribed burning would be utilized most for ecological restoration treatments in grass fuel types, a moderate likelihood it would be utilized to implement fuel break and ecological restoration treatments in tree fuel types, and a moderate likelihood it would be utilized for fuel break treatments in shrub fuel types. The CalVTP would reduce the amount of vegetation in all treated areas, which has the potential to expose soil to wind and water erosion. Implementation of SPRs GEO-1 through GEO-8 will avoid and minimize the risk of substantial erosion and loss of topsoil. This impact would be less than significant.</w:t>
            </w:r>
          </w:p>
        </w:tc>
        <w:tc>
          <w:tcPr>
            <w:tcW w:w="993" w:type="dxa"/>
          </w:tcPr>
          <w:p w14:paraId="55E8B6CC" w14:textId="2CD95CB9" w:rsidR="0036768C" w:rsidRPr="005B3573" w:rsidRDefault="0036768C" w:rsidP="0036768C">
            <w:pPr>
              <w:pStyle w:val="TableTextL"/>
              <w:jc w:val="center"/>
            </w:pPr>
            <w:r>
              <w:lastRenderedPageBreak/>
              <w:t>LTS</w:t>
            </w:r>
          </w:p>
        </w:tc>
        <w:tc>
          <w:tcPr>
            <w:tcW w:w="5893" w:type="dxa"/>
          </w:tcPr>
          <w:p w14:paraId="5BB980F5" w14:textId="29C6EFEA" w:rsidR="0036768C" w:rsidRPr="005B3573" w:rsidRDefault="0036768C" w:rsidP="0036768C">
            <w:pPr>
              <w:pStyle w:val="TableTextL"/>
            </w:pPr>
            <w:r>
              <w:t>No mitigation is required.</w:t>
            </w:r>
          </w:p>
        </w:tc>
        <w:tc>
          <w:tcPr>
            <w:tcW w:w="938" w:type="dxa"/>
          </w:tcPr>
          <w:p w14:paraId="76951077" w14:textId="4FEE9B28" w:rsidR="0036768C" w:rsidRPr="005B3573" w:rsidRDefault="0036768C" w:rsidP="0036768C">
            <w:pPr>
              <w:pStyle w:val="TableTextL"/>
              <w:jc w:val="center"/>
            </w:pPr>
            <w:r>
              <w:t>LTS</w:t>
            </w:r>
          </w:p>
        </w:tc>
      </w:tr>
      <w:tr w:rsidR="0036768C" w:rsidRPr="005B3573" w14:paraId="01417486" w14:textId="77777777" w:rsidTr="003060D2">
        <w:trPr>
          <w:jc w:val="center"/>
        </w:trPr>
        <w:tc>
          <w:tcPr>
            <w:tcW w:w="5856" w:type="dxa"/>
          </w:tcPr>
          <w:p w14:paraId="19F01A09" w14:textId="77777777" w:rsidR="0036768C" w:rsidRPr="00FE7359" w:rsidRDefault="0036768C" w:rsidP="0036768C">
            <w:pPr>
              <w:pStyle w:val="TableTextL"/>
              <w:rPr>
                <w:b/>
                <w:bCs/>
              </w:rPr>
            </w:pPr>
            <w:r w:rsidRPr="00FE7359">
              <w:rPr>
                <w:b/>
                <w:bCs/>
              </w:rPr>
              <w:t>Impact GEO-2: Increase Risk of Landslide</w:t>
            </w:r>
          </w:p>
          <w:p w14:paraId="697AD928" w14:textId="2B238408" w:rsidR="0036768C" w:rsidRPr="00931675" w:rsidRDefault="0036768C" w:rsidP="0036768C">
            <w:pPr>
              <w:pStyle w:val="TableTextL"/>
            </w:pPr>
            <w:r>
              <w:t>Removal of vegetation during treatments activities implemented under the CalVTP could affect the root structure in treated areas such that the stability of slopes and soils could decrease, which would increase the risk of landslide. Additionally, by removing vegetation, the soil water content could increase due to lack of uptake and transpiration by the vegetation. Higher soil water content could potentially destabilize slopes and increase the risk of landslide. Landslide risk would increase in areas with steeper slopes and where previous landslide has occurred. Implementation of SPRs GEO-3, GEO-4, GEO-7, and GEO-8 would avoid or minimize the risk of landslide resulting from CalVTP treatments. This impact would be less than significant.</w:t>
            </w:r>
          </w:p>
        </w:tc>
        <w:tc>
          <w:tcPr>
            <w:tcW w:w="993" w:type="dxa"/>
          </w:tcPr>
          <w:p w14:paraId="28E9CA38" w14:textId="1C79FB38" w:rsidR="0036768C" w:rsidRPr="005B3573" w:rsidRDefault="0036768C" w:rsidP="0036768C">
            <w:pPr>
              <w:pStyle w:val="TableTextL"/>
              <w:jc w:val="center"/>
            </w:pPr>
            <w:r>
              <w:t>LTS</w:t>
            </w:r>
          </w:p>
        </w:tc>
        <w:tc>
          <w:tcPr>
            <w:tcW w:w="5893" w:type="dxa"/>
          </w:tcPr>
          <w:p w14:paraId="2BFF9565" w14:textId="0EA7664B" w:rsidR="0036768C" w:rsidRPr="005B3573" w:rsidRDefault="0036768C" w:rsidP="0036768C">
            <w:pPr>
              <w:pStyle w:val="TableTextL"/>
            </w:pPr>
            <w:r>
              <w:t>No mitigation is required.</w:t>
            </w:r>
          </w:p>
        </w:tc>
        <w:tc>
          <w:tcPr>
            <w:tcW w:w="938" w:type="dxa"/>
          </w:tcPr>
          <w:p w14:paraId="07130F5F" w14:textId="470C01A5" w:rsidR="0036768C" w:rsidRPr="005B3573" w:rsidRDefault="0036768C" w:rsidP="0036768C">
            <w:pPr>
              <w:pStyle w:val="TableTextL"/>
              <w:jc w:val="center"/>
            </w:pPr>
            <w:r>
              <w:t>LTS</w:t>
            </w:r>
          </w:p>
        </w:tc>
      </w:tr>
      <w:tr w:rsidR="0036768C" w:rsidRPr="005B3573" w14:paraId="426DDFAF" w14:textId="77777777" w:rsidTr="003060D2">
        <w:trPr>
          <w:jc w:val="center"/>
        </w:trPr>
        <w:tc>
          <w:tcPr>
            <w:tcW w:w="5856" w:type="dxa"/>
            <w:tcBorders>
              <w:top w:val="single" w:sz="4" w:space="0" w:color="auto"/>
              <w:right w:val="nil"/>
            </w:tcBorders>
            <w:shd w:val="clear" w:color="auto" w:fill="F2F2F2" w:themeFill="background1" w:themeFillShade="F2"/>
          </w:tcPr>
          <w:p w14:paraId="578800A1" w14:textId="4C7335A2" w:rsidR="0036768C" w:rsidRPr="00931675" w:rsidRDefault="0036768C" w:rsidP="0036768C">
            <w:pPr>
              <w:pStyle w:val="TableTextL"/>
              <w:keepNext/>
              <w:rPr>
                <w:b/>
              </w:rPr>
            </w:pPr>
            <w:r w:rsidRPr="00931675">
              <w:rPr>
                <w:b/>
              </w:rPr>
              <w:t>Greenhouse Gas Emissions</w:t>
            </w:r>
          </w:p>
        </w:tc>
        <w:tc>
          <w:tcPr>
            <w:tcW w:w="993" w:type="dxa"/>
            <w:tcBorders>
              <w:top w:val="single" w:sz="4" w:space="0" w:color="auto"/>
              <w:left w:val="nil"/>
              <w:right w:val="nil"/>
            </w:tcBorders>
            <w:shd w:val="clear" w:color="auto" w:fill="F2F2F2" w:themeFill="background1" w:themeFillShade="F2"/>
          </w:tcPr>
          <w:p w14:paraId="178D0652" w14:textId="77777777" w:rsidR="0036768C" w:rsidRPr="005B3573" w:rsidRDefault="0036768C" w:rsidP="0036768C">
            <w:pPr>
              <w:pStyle w:val="TableTextL"/>
              <w:jc w:val="center"/>
              <w:rPr>
                <w:b/>
              </w:rPr>
            </w:pPr>
          </w:p>
        </w:tc>
        <w:tc>
          <w:tcPr>
            <w:tcW w:w="5893" w:type="dxa"/>
            <w:tcBorders>
              <w:top w:val="single" w:sz="4" w:space="0" w:color="auto"/>
              <w:left w:val="nil"/>
              <w:right w:val="nil"/>
            </w:tcBorders>
            <w:shd w:val="clear" w:color="auto" w:fill="F2F2F2" w:themeFill="background1" w:themeFillShade="F2"/>
          </w:tcPr>
          <w:p w14:paraId="18382580" w14:textId="77777777" w:rsidR="0036768C" w:rsidRPr="005B3573" w:rsidRDefault="0036768C" w:rsidP="0036768C">
            <w:pPr>
              <w:pStyle w:val="TableTextL"/>
              <w:rPr>
                <w:b/>
              </w:rPr>
            </w:pPr>
          </w:p>
        </w:tc>
        <w:tc>
          <w:tcPr>
            <w:tcW w:w="938" w:type="dxa"/>
            <w:tcBorders>
              <w:top w:val="single" w:sz="4" w:space="0" w:color="auto"/>
              <w:left w:val="nil"/>
            </w:tcBorders>
            <w:shd w:val="clear" w:color="auto" w:fill="F2F2F2" w:themeFill="background1" w:themeFillShade="F2"/>
          </w:tcPr>
          <w:p w14:paraId="3D034B55" w14:textId="77777777" w:rsidR="0036768C" w:rsidRPr="005B3573" w:rsidRDefault="0036768C" w:rsidP="0036768C">
            <w:pPr>
              <w:pStyle w:val="TableTextL"/>
              <w:jc w:val="center"/>
              <w:rPr>
                <w:b/>
              </w:rPr>
            </w:pPr>
          </w:p>
        </w:tc>
      </w:tr>
      <w:tr w:rsidR="0036768C" w:rsidRPr="005B3573" w14:paraId="7196672B" w14:textId="77777777" w:rsidTr="003060D2">
        <w:trPr>
          <w:jc w:val="center"/>
        </w:trPr>
        <w:tc>
          <w:tcPr>
            <w:tcW w:w="5856" w:type="dxa"/>
          </w:tcPr>
          <w:p w14:paraId="7AEBBD49" w14:textId="77777777" w:rsidR="0036768C" w:rsidRPr="008402BC" w:rsidRDefault="0036768C" w:rsidP="0036768C">
            <w:pPr>
              <w:pStyle w:val="TableTextL"/>
              <w:rPr>
                <w:b/>
                <w:bCs/>
              </w:rPr>
            </w:pPr>
            <w:r w:rsidRPr="008402BC">
              <w:rPr>
                <w:b/>
                <w:bCs/>
              </w:rPr>
              <w:t>Impact GHG-1: Conflict with Applicable Plan, Policy, or Regulation of an Agency Adopted for the Purpose of Reducing the Emissions of GHGs</w:t>
            </w:r>
          </w:p>
          <w:p w14:paraId="51A6BA49" w14:textId="62ABEEFA" w:rsidR="0036768C" w:rsidRPr="00183DE0" w:rsidRDefault="0036768C" w:rsidP="0036768C">
            <w:pPr>
              <w:pStyle w:val="TableTextL"/>
              <w:rPr>
                <w:spacing w:val="-2"/>
              </w:rPr>
            </w:pPr>
            <w:r w:rsidRPr="00183DE0">
              <w:rPr>
                <w:spacing w:val="-2"/>
              </w:rPr>
              <w:t xml:space="preserve">The CalVTP would be consistent with applicable plans, policies, and regulations aimed at reducing GHG emissions, including </w:t>
            </w:r>
            <w:r w:rsidRPr="00183DE0">
              <w:rPr>
                <w:i/>
                <w:iCs/>
                <w:spacing w:val="-2"/>
              </w:rPr>
              <w:t>California’s 2017 Climate Change Scoping Plan</w:t>
            </w:r>
            <w:r w:rsidRPr="00183DE0">
              <w:rPr>
                <w:spacing w:val="-2"/>
              </w:rPr>
              <w:t xml:space="preserve">, the </w:t>
            </w:r>
            <w:r w:rsidRPr="00183DE0">
              <w:rPr>
                <w:i/>
                <w:iCs/>
                <w:spacing w:val="-2"/>
              </w:rPr>
              <w:t>California Forest Carbon Plan</w:t>
            </w:r>
            <w:r w:rsidRPr="00183DE0">
              <w:rPr>
                <w:spacing w:val="-2"/>
              </w:rPr>
              <w:t xml:space="preserve">, and </w:t>
            </w:r>
            <w:r w:rsidR="000C5A0F" w:rsidRPr="00183DE0">
              <w:rPr>
                <w:i/>
                <w:iCs/>
                <w:spacing w:val="-2"/>
                <w:u w:val="single"/>
              </w:rPr>
              <w:t xml:space="preserve">Draft </w:t>
            </w:r>
            <w:r w:rsidRPr="00183DE0">
              <w:rPr>
                <w:i/>
                <w:iCs/>
                <w:spacing w:val="-2"/>
              </w:rPr>
              <w:t>California 2030 Natural and Working Lands Climate Change Implementation Plan</w:t>
            </w:r>
            <w:r w:rsidRPr="00183DE0">
              <w:rPr>
                <w:spacing w:val="-2"/>
              </w:rPr>
              <w:t xml:space="preserve">. The purpose of the CalVTP is to </w:t>
            </w:r>
            <w:r w:rsidRPr="00183DE0">
              <w:rPr>
                <w:spacing w:val="-2"/>
              </w:rPr>
              <w:lastRenderedPageBreak/>
              <w:t xml:space="preserve">reduce wildfire risk, which </w:t>
            </w:r>
            <w:r w:rsidRPr="00183DE0">
              <w:rPr>
                <w:strike/>
                <w:spacing w:val="-2"/>
              </w:rPr>
              <w:t xml:space="preserve">is </w:t>
            </w:r>
            <w:r w:rsidRPr="00183DE0">
              <w:rPr>
                <w:spacing w:val="-2"/>
              </w:rPr>
              <w:t>could reduce GHG emissions and increase carbon sequestration over the long term. This impact would be less than significant.</w:t>
            </w:r>
          </w:p>
        </w:tc>
        <w:tc>
          <w:tcPr>
            <w:tcW w:w="993" w:type="dxa"/>
          </w:tcPr>
          <w:p w14:paraId="04456D39" w14:textId="5420A11E" w:rsidR="0036768C" w:rsidRPr="005B3573" w:rsidRDefault="0036768C" w:rsidP="0036768C">
            <w:pPr>
              <w:pStyle w:val="TableTextL"/>
              <w:jc w:val="center"/>
            </w:pPr>
            <w:r>
              <w:lastRenderedPageBreak/>
              <w:t>LTS</w:t>
            </w:r>
          </w:p>
        </w:tc>
        <w:tc>
          <w:tcPr>
            <w:tcW w:w="5893" w:type="dxa"/>
          </w:tcPr>
          <w:p w14:paraId="767BC9FE" w14:textId="02D1CED9" w:rsidR="0036768C" w:rsidRPr="005B3573" w:rsidRDefault="0036768C" w:rsidP="0036768C">
            <w:pPr>
              <w:pStyle w:val="TableTextL"/>
            </w:pPr>
            <w:r>
              <w:t>No mitigation is required.</w:t>
            </w:r>
          </w:p>
        </w:tc>
        <w:tc>
          <w:tcPr>
            <w:tcW w:w="938" w:type="dxa"/>
          </w:tcPr>
          <w:p w14:paraId="06010E83" w14:textId="45F9113B" w:rsidR="0036768C" w:rsidRPr="005B3573" w:rsidRDefault="0036768C" w:rsidP="0036768C">
            <w:pPr>
              <w:pStyle w:val="TableTextL"/>
              <w:jc w:val="center"/>
            </w:pPr>
            <w:r>
              <w:t>LTS</w:t>
            </w:r>
          </w:p>
        </w:tc>
      </w:tr>
      <w:tr w:rsidR="0036768C" w:rsidRPr="005B3573" w14:paraId="1E3192DA" w14:textId="77777777" w:rsidTr="003060D2">
        <w:trPr>
          <w:jc w:val="center"/>
        </w:trPr>
        <w:tc>
          <w:tcPr>
            <w:tcW w:w="5856" w:type="dxa"/>
          </w:tcPr>
          <w:p w14:paraId="31B1DC4D" w14:textId="77777777" w:rsidR="0036768C" w:rsidRPr="00670FBF" w:rsidRDefault="0036768C" w:rsidP="0036768C">
            <w:pPr>
              <w:pStyle w:val="TableTextL"/>
              <w:rPr>
                <w:b/>
                <w:bCs/>
              </w:rPr>
            </w:pPr>
            <w:r w:rsidRPr="00670FBF">
              <w:rPr>
                <w:b/>
                <w:bCs/>
              </w:rPr>
              <w:t>Impact GHG-2: Generate GHG Emissions through Treatment Activities</w:t>
            </w:r>
          </w:p>
          <w:p w14:paraId="0C2B1452" w14:textId="5FAAAFB5" w:rsidR="0036768C" w:rsidRPr="00931675" w:rsidRDefault="000C5A0F" w:rsidP="0036768C">
            <w:pPr>
              <w:pStyle w:val="TableTextL"/>
            </w:pPr>
            <w:r>
              <w:rPr>
                <w:spacing w:val="-2"/>
              </w:rPr>
              <w:t xml:space="preserve">Direct GHG emissions from the proposed increase in annual treatment activities conducted under the CalVTP would be substantial, recognizing planned levels of treatment would increase from 33,000 acres to 250,000 acres per year. At the full target rate of 250,000 acres per year, GHG emissions from treatments would amount to an estimated </w:t>
            </w:r>
            <w:r w:rsidRPr="006469E2">
              <w:rPr>
                <w:spacing w:val="-2"/>
              </w:rPr>
              <w:t>4</w:t>
            </w:r>
            <w:r w:rsidRPr="00183DE0">
              <w:rPr>
                <w:spacing w:val="-2"/>
                <w:u w:val="single"/>
              </w:rPr>
              <w:t>.</w:t>
            </w:r>
            <w:r w:rsidRPr="00183DE0">
              <w:rPr>
                <w:strike/>
                <w:spacing w:val="-2"/>
              </w:rPr>
              <w:t>,</w:t>
            </w:r>
            <w:r w:rsidRPr="006469E2">
              <w:rPr>
                <w:spacing w:val="-2"/>
              </w:rPr>
              <w:t>051 MMTCO</w:t>
            </w:r>
            <w:r w:rsidRPr="006469E2">
              <w:rPr>
                <w:spacing w:val="-2"/>
                <w:vertAlign w:val="subscript"/>
              </w:rPr>
              <w:t>2</w:t>
            </w:r>
            <w:r w:rsidRPr="006469E2">
              <w:rPr>
                <w:spacing w:val="-2"/>
              </w:rPr>
              <w:t>e annu</w:t>
            </w:r>
            <w:r>
              <w:rPr>
                <w:spacing w:val="-2"/>
              </w:rPr>
              <w:t>ally. Consistent with the goals of the proposed fuel treatments to</w:t>
            </w:r>
            <w:r w:rsidRPr="00B36CBD">
              <w:rPr>
                <w:spacing w:val="-2"/>
              </w:rPr>
              <w:t xml:space="preserve"> decrease the occurrence of high-severity wildfires and</w:t>
            </w:r>
            <w:r>
              <w:rPr>
                <w:spacing w:val="-2"/>
              </w:rPr>
              <w:t xml:space="preserve"> increase the potential </w:t>
            </w:r>
            <w:r w:rsidRPr="00B36CBD">
              <w:rPr>
                <w:spacing w:val="-2"/>
              </w:rPr>
              <w:t xml:space="preserve">rates of carbon sequestration, implementation of the CalVTP </w:t>
            </w:r>
            <w:r>
              <w:rPr>
                <w:spacing w:val="-2"/>
              </w:rPr>
              <w:t>could</w:t>
            </w:r>
            <w:r w:rsidRPr="00B36CBD">
              <w:rPr>
                <w:spacing w:val="-2"/>
              </w:rPr>
              <w:t xml:space="preserve"> result in a cumulative net carbon benefit over the long term</w:t>
            </w:r>
            <w:r w:rsidRPr="00183DE0">
              <w:rPr>
                <w:strike/>
                <w:spacing w:val="-2"/>
              </w:rPr>
              <w:t>, which is the most relevant timeframe and global context of GHG-caused, climate change–related environmental effects</w:t>
            </w:r>
            <w:r w:rsidRPr="00B36CBD">
              <w:rPr>
                <w:spacing w:val="-2"/>
              </w:rPr>
              <w:t>.</w:t>
            </w:r>
            <w:r>
              <w:rPr>
                <w:spacing w:val="-2"/>
              </w:rPr>
              <w:t xml:space="preserve"> However, </w:t>
            </w:r>
            <w:r w:rsidRPr="00B36CBD">
              <w:rPr>
                <w:spacing w:val="-2"/>
              </w:rPr>
              <w:t>there is uncertainty in predicting future wildfire occurrence</w:t>
            </w:r>
            <w:r w:rsidRPr="00183DE0">
              <w:rPr>
                <w:strike/>
                <w:spacing w:val="-2"/>
                <w:u w:val="single"/>
              </w:rPr>
              <w:t xml:space="preserve">, </w:t>
            </w:r>
            <w:r w:rsidRPr="00183DE0">
              <w:rPr>
                <w:spacing w:val="-2"/>
                <w:u w:val="single"/>
              </w:rPr>
              <w:t>emissions,</w:t>
            </w:r>
            <w:r w:rsidRPr="00183DE0">
              <w:rPr>
                <w:spacing w:val="-2"/>
              </w:rPr>
              <w:t xml:space="preserve"> </w:t>
            </w:r>
            <w:r w:rsidRPr="00B36CBD">
              <w:rPr>
                <w:spacing w:val="-2"/>
              </w:rPr>
              <w:t>and carbon sequestration rates</w:t>
            </w:r>
            <w:r>
              <w:rPr>
                <w:spacing w:val="-2"/>
              </w:rPr>
              <w:t>, which are highly variable depending on many factors. Future wildfire intensities and carbon sequestration in treated areas are the subjects of continued scientific research and debate. T</w:t>
            </w:r>
            <w:r w:rsidRPr="00B36CBD">
              <w:rPr>
                <w:spacing w:val="-2"/>
              </w:rPr>
              <w:t xml:space="preserve">o meet CEQA’s mandate of good faith disclosure and </w:t>
            </w:r>
            <w:r>
              <w:rPr>
                <w:spacing w:val="-2"/>
              </w:rPr>
              <w:t>acknowledge</w:t>
            </w:r>
            <w:r w:rsidRPr="00B36CBD">
              <w:rPr>
                <w:spacing w:val="-2"/>
              </w:rPr>
              <w:t xml:space="preserve"> potential future impacts in light of uncertainties, this GHG impact </w:t>
            </w:r>
            <w:r>
              <w:rPr>
                <w:spacing w:val="-2"/>
              </w:rPr>
              <w:t xml:space="preserve">is classified </w:t>
            </w:r>
            <w:r w:rsidRPr="00B36CBD">
              <w:rPr>
                <w:spacing w:val="-2"/>
              </w:rPr>
              <w:t xml:space="preserve">as </w:t>
            </w:r>
            <w:r w:rsidRPr="00B36CBD">
              <w:rPr>
                <w:b/>
                <w:spacing w:val="-2"/>
              </w:rPr>
              <w:t>potentially significant</w:t>
            </w:r>
            <w:r w:rsidRPr="00B36CBD">
              <w:rPr>
                <w:spacing w:val="-2"/>
              </w:rPr>
              <w:t xml:space="preserve">, </w:t>
            </w:r>
            <w:r>
              <w:rPr>
                <w:spacing w:val="-2"/>
              </w:rPr>
              <w:t>recognizing the reliability of estimates for direct GHG emissions and the uncertainty of</w:t>
            </w:r>
            <w:r w:rsidRPr="00B36CBD">
              <w:rPr>
                <w:spacing w:val="-2"/>
              </w:rPr>
              <w:t xml:space="preserve"> </w:t>
            </w:r>
            <w:r>
              <w:rPr>
                <w:spacing w:val="-2"/>
              </w:rPr>
              <w:t xml:space="preserve">the intended </w:t>
            </w:r>
            <w:r w:rsidRPr="00B36CBD">
              <w:rPr>
                <w:spacing w:val="-2"/>
              </w:rPr>
              <w:t xml:space="preserve">net </w:t>
            </w:r>
            <w:r>
              <w:rPr>
                <w:spacing w:val="-2"/>
              </w:rPr>
              <w:t xml:space="preserve">carbon </w:t>
            </w:r>
            <w:r w:rsidRPr="00B36CBD">
              <w:rPr>
                <w:spacing w:val="-2"/>
              </w:rPr>
              <w:t>benefit</w:t>
            </w:r>
            <w:r>
              <w:rPr>
                <w:spacing w:val="-2"/>
              </w:rPr>
              <w:t>s of reduced wildfire intensity and increased carbon sequestration in treated areas.</w:t>
            </w:r>
          </w:p>
        </w:tc>
        <w:tc>
          <w:tcPr>
            <w:tcW w:w="993" w:type="dxa"/>
          </w:tcPr>
          <w:p w14:paraId="6BB735CC" w14:textId="233B53FC" w:rsidR="0036768C" w:rsidRPr="005B3573" w:rsidRDefault="0036768C" w:rsidP="0036768C">
            <w:pPr>
              <w:pStyle w:val="TableTextL"/>
              <w:jc w:val="center"/>
            </w:pPr>
            <w:r>
              <w:t>PS</w:t>
            </w:r>
          </w:p>
        </w:tc>
        <w:tc>
          <w:tcPr>
            <w:tcW w:w="5893" w:type="dxa"/>
          </w:tcPr>
          <w:p w14:paraId="1F029DEE" w14:textId="77777777" w:rsidR="0036768C" w:rsidRPr="003B7ABD" w:rsidRDefault="0036768C" w:rsidP="0036768C">
            <w:pPr>
              <w:pStyle w:val="TableTextL"/>
              <w:rPr>
                <w:b/>
                <w:bCs/>
              </w:rPr>
            </w:pPr>
            <w:r w:rsidRPr="003B7ABD">
              <w:rPr>
                <w:b/>
                <w:bCs/>
              </w:rPr>
              <w:t>Mitigation Measure GHG-2. Implement GHG Emission Reduction Techniques During Prescribed Burns</w:t>
            </w:r>
          </w:p>
          <w:p w14:paraId="5AE6F182" w14:textId="77777777" w:rsidR="003B7ABD" w:rsidRPr="003B7ABD" w:rsidRDefault="003B7ABD" w:rsidP="003B7ABD">
            <w:pPr>
              <w:pStyle w:val="TableTextL"/>
            </w:pPr>
            <w:r w:rsidRPr="003B7ABD">
              <w:t xml:space="preserve">When planning for and conducting a prescribed burn, project proponents implementing a prescribed burn will incorporate feasible methods for reducing GHG emissions, including the following, which are identified in the </w:t>
            </w:r>
            <w:r w:rsidRPr="003B7ABD">
              <w:rPr>
                <w:i/>
              </w:rPr>
              <w:t>National Wildfire Coordinating Group Smoke Management Guide for Prescribed Fire</w:t>
            </w:r>
            <w:r w:rsidRPr="003B7ABD">
              <w:t xml:space="preserve"> (NWCG 2018):</w:t>
            </w:r>
          </w:p>
          <w:p w14:paraId="68CBF731" w14:textId="77777777" w:rsidR="003B7ABD" w:rsidRPr="003B7ABD" w:rsidRDefault="003B7ABD" w:rsidP="003B7ABD">
            <w:pPr>
              <w:pStyle w:val="TableBullet1"/>
            </w:pPr>
            <w:r w:rsidRPr="003B7ABD">
              <w:t>reduce the total area burned by isolating and leaving large fuels (e.g., large logs, snags) unburned;</w:t>
            </w:r>
          </w:p>
          <w:p w14:paraId="73D71360" w14:textId="77777777" w:rsidR="003B7ABD" w:rsidRPr="003B7ABD" w:rsidRDefault="003B7ABD" w:rsidP="003B7ABD">
            <w:pPr>
              <w:pStyle w:val="TableBullet1"/>
            </w:pPr>
            <w:r w:rsidRPr="003B7ABD">
              <w:t>reduce the total area burned through mosaic burning;</w:t>
            </w:r>
          </w:p>
          <w:p w14:paraId="79BD555A" w14:textId="77777777" w:rsidR="003B7ABD" w:rsidRDefault="003B7ABD" w:rsidP="005B2A06">
            <w:pPr>
              <w:pStyle w:val="TableBullet1"/>
            </w:pPr>
            <w:r w:rsidRPr="003B7ABD">
              <w:t>burn when fuels have a higher fuel moisture content;</w:t>
            </w:r>
          </w:p>
          <w:p w14:paraId="6CD9472F" w14:textId="36E491E2" w:rsidR="003B7ABD" w:rsidRPr="003B7ABD" w:rsidRDefault="003B7ABD" w:rsidP="005B2A06">
            <w:pPr>
              <w:pStyle w:val="TableBullet1"/>
            </w:pPr>
            <w:r w:rsidRPr="003B7ABD">
              <w:t>reduce fuel loading by removing fuels before ignition. Methods to remove fuels include mechanical treatments, manual treatments, prescribed herbivory, and biomass utilization; and</w:t>
            </w:r>
          </w:p>
          <w:p w14:paraId="668CD381" w14:textId="77777777" w:rsidR="003B7ABD" w:rsidRPr="003B7ABD" w:rsidRDefault="003B7ABD" w:rsidP="003B7ABD">
            <w:pPr>
              <w:pStyle w:val="TableBullet1"/>
            </w:pPr>
            <w:r w:rsidRPr="003B7ABD">
              <w:t>schedule burns before new fuels appear</w:t>
            </w:r>
            <w:r w:rsidRPr="003B7ABD">
              <w:rPr>
                <w:rFonts w:ascii="Times New Roman" w:hAnsi="Times New Roman" w:cs="Times New Roman"/>
                <w:sz w:val="24"/>
                <w:szCs w:val="24"/>
              </w:rPr>
              <w:t>.</w:t>
            </w:r>
          </w:p>
          <w:p w14:paraId="439AD866" w14:textId="77777777" w:rsidR="003B7ABD" w:rsidRPr="00183DE0" w:rsidRDefault="003B7ABD" w:rsidP="003B7ABD">
            <w:pPr>
              <w:pStyle w:val="TableTextL"/>
              <w:rPr>
                <w:u w:val="single"/>
              </w:rPr>
            </w:pPr>
            <w:bookmarkStart w:id="96" w:name="_Hlk20908177"/>
            <w:r w:rsidRPr="00183DE0">
              <w:rPr>
                <w:u w:val="single"/>
              </w:rPr>
              <w:t xml:space="preserve">As the science evolves, other feasible methods or technologies to sequester carbon could be incorporated, such as conservation burning, a technique for burning woody material that reduces the production of smoke particulates and carbon released into the atmosphere and generates more biochar. Biochar is produced from the material left over after the burn and spread with compost to increase soil organic matter and soil carbon sequestration. </w:t>
            </w:r>
            <w:bookmarkStart w:id="97" w:name="_Hlk20858992"/>
            <w:r w:rsidRPr="00183DE0">
              <w:rPr>
                <w:u w:val="single"/>
              </w:rPr>
              <w:t>Technologies to reduce greenhouse gas emissions may also include portable units that perform gasification to produce electricity or pyrolysis that produces biooil that can be used as liquid fuel and/or syngas that can be used to generate electricity.</w:t>
            </w:r>
          </w:p>
          <w:bookmarkEnd w:id="96"/>
          <w:bookmarkEnd w:id="97"/>
          <w:p w14:paraId="6E97D329" w14:textId="266CA769" w:rsidR="0036768C" w:rsidRPr="003B7ABD" w:rsidRDefault="003B7ABD" w:rsidP="003B7ABD">
            <w:pPr>
              <w:pStyle w:val="TableTextL"/>
            </w:pPr>
            <w:r w:rsidRPr="003B7ABD">
              <w:t>The project proponent will document in the Burn Plan required pursuant to SPR AQ-3 which methods for reducing GHG emissions can feasibly be integrated into the treatment design.</w:t>
            </w:r>
          </w:p>
        </w:tc>
        <w:tc>
          <w:tcPr>
            <w:tcW w:w="938" w:type="dxa"/>
          </w:tcPr>
          <w:p w14:paraId="518CB611" w14:textId="51B77C73" w:rsidR="0036768C" w:rsidRPr="005B3573" w:rsidRDefault="00462E42" w:rsidP="0036768C">
            <w:pPr>
              <w:pStyle w:val="TableTextL"/>
              <w:jc w:val="center"/>
            </w:pPr>
            <w:r>
              <w:t>SU</w:t>
            </w:r>
          </w:p>
        </w:tc>
      </w:tr>
      <w:tr w:rsidR="0036768C" w:rsidRPr="005B3573" w14:paraId="17CA436B" w14:textId="77777777" w:rsidTr="002B7098">
        <w:trPr>
          <w:jc w:val="center"/>
        </w:trPr>
        <w:tc>
          <w:tcPr>
            <w:tcW w:w="5856" w:type="dxa"/>
            <w:tcBorders>
              <w:top w:val="single" w:sz="4" w:space="0" w:color="auto"/>
              <w:right w:val="nil"/>
            </w:tcBorders>
            <w:shd w:val="clear" w:color="auto" w:fill="F2F2F2" w:themeFill="background1" w:themeFillShade="F2"/>
          </w:tcPr>
          <w:p w14:paraId="6D290BE6" w14:textId="62B04185" w:rsidR="0036768C" w:rsidRPr="00931675" w:rsidRDefault="0036768C" w:rsidP="00183DE0">
            <w:pPr>
              <w:pStyle w:val="TableTextL"/>
              <w:keepNext/>
              <w:pageBreakBefore/>
              <w:rPr>
                <w:b/>
              </w:rPr>
            </w:pPr>
            <w:r w:rsidRPr="00931675">
              <w:rPr>
                <w:b/>
              </w:rPr>
              <w:lastRenderedPageBreak/>
              <w:t>Energy Resources</w:t>
            </w:r>
          </w:p>
        </w:tc>
        <w:tc>
          <w:tcPr>
            <w:tcW w:w="993" w:type="dxa"/>
            <w:tcBorders>
              <w:top w:val="single" w:sz="4" w:space="0" w:color="auto"/>
              <w:left w:val="nil"/>
              <w:right w:val="nil"/>
            </w:tcBorders>
            <w:shd w:val="clear" w:color="auto" w:fill="F2F2F2" w:themeFill="background1" w:themeFillShade="F2"/>
          </w:tcPr>
          <w:p w14:paraId="5ABA673F" w14:textId="77777777" w:rsidR="0036768C" w:rsidRPr="005B3573" w:rsidRDefault="0036768C" w:rsidP="00183DE0">
            <w:pPr>
              <w:pStyle w:val="TableTextL"/>
              <w:pageBreakBefore/>
              <w:jc w:val="center"/>
              <w:rPr>
                <w:b/>
              </w:rPr>
            </w:pPr>
          </w:p>
        </w:tc>
        <w:tc>
          <w:tcPr>
            <w:tcW w:w="5893" w:type="dxa"/>
            <w:tcBorders>
              <w:top w:val="single" w:sz="4" w:space="0" w:color="auto"/>
              <w:left w:val="nil"/>
              <w:right w:val="nil"/>
            </w:tcBorders>
            <w:shd w:val="clear" w:color="auto" w:fill="F2F2F2" w:themeFill="background1" w:themeFillShade="F2"/>
          </w:tcPr>
          <w:p w14:paraId="3C17BCEB" w14:textId="77777777" w:rsidR="0036768C" w:rsidRPr="005B3573" w:rsidRDefault="0036768C" w:rsidP="00183DE0">
            <w:pPr>
              <w:pStyle w:val="TableTextL"/>
              <w:pageBreakBefore/>
              <w:rPr>
                <w:b/>
              </w:rPr>
            </w:pPr>
          </w:p>
        </w:tc>
        <w:tc>
          <w:tcPr>
            <w:tcW w:w="938" w:type="dxa"/>
            <w:tcBorders>
              <w:top w:val="single" w:sz="4" w:space="0" w:color="auto"/>
              <w:left w:val="nil"/>
            </w:tcBorders>
            <w:shd w:val="clear" w:color="auto" w:fill="F2F2F2" w:themeFill="background1" w:themeFillShade="F2"/>
          </w:tcPr>
          <w:p w14:paraId="75B765D3" w14:textId="77777777" w:rsidR="0036768C" w:rsidRPr="005B3573" w:rsidRDefault="0036768C" w:rsidP="00183DE0">
            <w:pPr>
              <w:pStyle w:val="TableTextL"/>
              <w:pageBreakBefore/>
              <w:jc w:val="center"/>
              <w:rPr>
                <w:b/>
              </w:rPr>
            </w:pPr>
          </w:p>
        </w:tc>
      </w:tr>
      <w:tr w:rsidR="0036768C" w:rsidRPr="005B3573" w14:paraId="1EF05488" w14:textId="77777777" w:rsidTr="002B7098">
        <w:trPr>
          <w:jc w:val="center"/>
        </w:trPr>
        <w:tc>
          <w:tcPr>
            <w:tcW w:w="5856" w:type="dxa"/>
          </w:tcPr>
          <w:p w14:paraId="4585980C" w14:textId="3938B272" w:rsidR="0036768C" w:rsidRPr="00797344" w:rsidRDefault="0036768C" w:rsidP="0036768C">
            <w:pPr>
              <w:pStyle w:val="TableTextL"/>
              <w:rPr>
                <w:b/>
                <w:bCs/>
                <w:spacing w:val="-2"/>
              </w:rPr>
            </w:pPr>
            <w:r w:rsidRPr="00797344">
              <w:rPr>
                <w:b/>
                <w:bCs/>
                <w:spacing w:val="-2"/>
              </w:rPr>
              <w:t>Impact ENG-1: Result in Wasteful, Inefficient, or Unnecessary Consumption of Energy</w:t>
            </w:r>
          </w:p>
          <w:p w14:paraId="469EBB73" w14:textId="3126D150" w:rsidR="0036768C" w:rsidRPr="00931675" w:rsidRDefault="0036768C" w:rsidP="0036768C">
            <w:pPr>
              <w:pStyle w:val="TableTextL"/>
            </w:pPr>
            <w:r w:rsidRPr="00931675">
              <w:t>Energy would be consumed under the proposed CalVTP in the form of fossil fuel (e.g., diesel and other petroleum fuels) combustion in the engines of vehicles and equipment, which would be used by workers accessing treatment areas and during implementation of treatment activities. Consistent with the CalVTP’s purpose of reducing wildfire risk and to the extent it would decrease intensity of wildfires, implementation of treatment activities would also reduce the intensity of fire response. With less intense wildfire response and its relatively inefficient consumption of energy, fuel and energy consumption for wildfire response would decrease, as well. Thus, impacts related to consumption of energy resources would be less than significant.</w:t>
            </w:r>
          </w:p>
        </w:tc>
        <w:tc>
          <w:tcPr>
            <w:tcW w:w="993" w:type="dxa"/>
          </w:tcPr>
          <w:p w14:paraId="528A0B36" w14:textId="184587DF" w:rsidR="0036768C" w:rsidRPr="005B3573" w:rsidRDefault="0036768C" w:rsidP="0036768C">
            <w:pPr>
              <w:pStyle w:val="TableTextL"/>
              <w:jc w:val="center"/>
            </w:pPr>
            <w:r>
              <w:t>LTS</w:t>
            </w:r>
          </w:p>
        </w:tc>
        <w:tc>
          <w:tcPr>
            <w:tcW w:w="5893" w:type="dxa"/>
          </w:tcPr>
          <w:p w14:paraId="14DCE7B1" w14:textId="6FB8F087" w:rsidR="0036768C" w:rsidRPr="005B3573" w:rsidRDefault="0036768C" w:rsidP="0036768C">
            <w:pPr>
              <w:pStyle w:val="TableTextL"/>
              <w:tabs>
                <w:tab w:val="left" w:pos="1928"/>
              </w:tabs>
            </w:pPr>
            <w:r>
              <w:t>No mitigation is required.</w:t>
            </w:r>
          </w:p>
        </w:tc>
        <w:tc>
          <w:tcPr>
            <w:tcW w:w="938" w:type="dxa"/>
          </w:tcPr>
          <w:p w14:paraId="79B1394E" w14:textId="3E6E710C" w:rsidR="0036768C" w:rsidRPr="005B3573" w:rsidRDefault="0036768C" w:rsidP="0036768C">
            <w:pPr>
              <w:pStyle w:val="TableTextL"/>
              <w:jc w:val="center"/>
            </w:pPr>
            <w:r>
              <w:t>LTS</w:t>
            </w:r>
          </w:p>
        </w:tc>
      </w:tr>
      <w:tr w:rsidR="0036768C" w:rsidRPr="005B3573" w14:paraId="36BC5342" w14:textId="77777777" w:rsidTr="002B7098">
        <w:trPr>
          <w:jc w:val="center"/>
        </w:trPr>
        <w:tc>
          <w:tcPr>
            <w:tcW w:w="5856" w:type="dxa"/>
            <w:tcBorders>
              <w:top w:val="single" w:sz="4" w:space="0" w:color="auto"/>
              <w:right w:val="nil"/>
            </w:tcBorders>
            <w:shd w:val="clear" w:color="auto" w:fill="F2F2F2" w:themeFill="background1" w:themeFillShade="F2"/>
          </w:tcPr>
          <w:p w14:paraId="3ED4C30F" w14:textId="2C045B65" w:rsidR="0036768C" w:rsidRPr="00931675" w:rsidRDefault="0036768C" w:rsidP="0036768C">
            <w:pPr>
              <w:pStyle w:val="TableTextL"/>
              <w:keepNext/>
              <w:rPr>
                <w:b/>
              </w:rPr>
            </w:pPr>
            <w:bookmarkStart w:id="98" w:name="_Hlk25230752"/>
            <w:r w:rsidRPr="00931675">
              <w:rPr>
                <w:b/>
              </w:rPr>
              <w:t>Hazardous Materials, Public Health and Safety</w:t>
            </w:r>
            <w:bookmarkEnd w:id="98"/>
          </w:p>
        </w:tc>
        <w:tc>
          <w:tcPr>
            <w:tcW w:w="993" w:type="dxa"/>
            <w:tcBorders>
              <w:top w:val="single" w:sz="4" w:space="0" w:color="auto"/>
              <w:left w:val="nil"/>
              <w:right w:val="nil"/>
            </w:tcBorders>
            <w:shd w:val="clear" w:color="auto" w:fill="F2F2F2" w:themeFill="background1" w:themeFillShade="F2"/>
          </w:tcPr>
          <w:p w14:paraId="034BF5E9" w14:textId="77777777" w:rsidR="0036768C" w:rsidRPr="005B3573" w:rsidRDefault="0036768C" w:rsidP="0036768C">
            <w:pPr>
              <w:pStyle w:val="TableTextL"/>
              <w:jc w:val="center"/>
              <w:rPr>
                <w:b/>
              </w:rPr>
            </w:pPr>
          </w:p>
        </w:tc>
        <w:tc>
          <w:tcPr>
            <w:tcW w:w="5893" w:type="dxa"/>
            <w:tcBorders>
              <w:top w:val="single" w:sz="4" w:space="0" w:color="auto"/>
              <w:left w:val="nil"/>
              <w:right w:val="nil"/>
            </w:tcBorders>
            <w:shd w:val="clear" w:color="auto" w:fill="F2F2F2" w:themeFill="background1" w:themeFillShade="F2"/>
          </w:tcPr>
          <w:p w14:paraId="1425AEDC" w14:textId="77777777" w:rsidR="0036768C" w:rsidRPr="005B3573" w:rsidRDefault="0036768C" w:rsidP="0036768C">
            <w:pPr>
              <w:pStyle w:val="TableTextL"/>
              <w:rPr>
                <w:b/>
              </w:rPr>
            </w:pPr>
          </w:p>
        </w:tc>
        <w:tc>
          <w:tcPr>
            <w:tcW w:w="938" w:type="dxa"/>
            <w:tcBorders>
              <w:top w:val="single" w:sz="4" w:space="0" w:color="auto"/>
              <w:left w:val="nil"/>
            </w:tcBorders>
            <w:shd w:val="clear" w:color="auto" w:fill="F2F2F2" w:themeFill="background1" w:themeFillShade="F2"/>
          </w:tcPr>
          <w:p w14:paraId="04B1DEC8" w14:textId="77777777" w:rsidR="0036768C" w:rsidRPr="005B3573" w:rsidRDefault="0036768C" w:rsidP="0036768C">
            <w:pPr>
              <w:pStyle w:val="TableTextL"/>
              <w:jc w:val="center"/>
              <w:rPr>
                <w:b/>
              </w:rPr>
            </w:pPr>
          </w:p>
        </w:tc>
      </w:tr>
      <w:tr w:rsidR="0036768C" w:rsidRPr="005B3573" w14:paraId="59E07B79" w14:textId="77777777" w:rsidTr="003060D2">
        <w:trPr>
          <w:jc w:val="center"/>
        </w:trPr>
        <w:tc>
          <w:tcPr>
            <w:tcW w:w="5856" w:type="dxa"/>
          </w:tcPr>
          <w:p w14:paraId="42F87ED9" w14:textId="2BFE7BF2" w:rsidR="0036768C" w:rsidRPr="0078157B" w:rsidRDefault="00761064" w:rsidP="0036768C">
            <w:pPr>
              <w:pStyle w:val="TableTextL"/>
            </w:pPr>
            <w:r w:rsidRPr="00441FFC">
              <w:rPr>
                <w:b/>
                <w:u w:val="single"/>
              </w:rPr>
              <w:t>Impact HAZ-1: Create a Significant Health Hazard from the Use of Hazardous Materials</w:t>
            </w:r>
            <w:r>
              <w:t xml:space="preserve"> </w:t>
            </w:r>
            <w:r w:rsidR="00A8017C">
              <w:t xml:space="preserve">Treatment activities proposed under the CalVTP would require the use of various types of equipment and vehicles, which need fuels, oils, and lubricants to operate. The use, transport, and disposal of these substances could result in an accidental upset or health hazard if released into the environment. </w:t>
            </w:r>
            <w:r w:rsidR="00A8017C" w:rsidRPr="007D1234">
              <w:t>SPR HAZ-1 would be implemented</w:t>
            </w:r>
            <w:r w:rsidR="00A8017C">
              <w:t xml:space="preserve"> during treatment activities under the CalVTP; it </w:t>
            </w:r>
            <w:r w:rsidR="00A8017C" w:rsidRPr="007D1234">
              <w:t>requires that all equipment be properly maintained per manufacturer</w:t>
            </w:r>
            <w:r w:rsidR="00A8017C">
              <w:t>’</w:t>
            </w:r>
            <w:r w:rsidR="00A8017C" w:rsidRPr="007D1234">
              <w:t>s specifications</w:t>
            </w:r>
            <w:r w:rsidR="00A8017C">
              <w:t xml:space="preserve">, </w:t>
            </w:r>
            <w:r w:rsidR="00A8017C" w:rsidRPr="007D1234">
              <w:t xml:space="preserve">requires </w:t>
            </w:r>
            <w:r w:rsidR="00A8017C">
              <w:t xml:space="preserve">regular </w:t>
            </w:r>
            <w:r w:rsidR="00A8017C" w:rsidRPr="007D1234">
              <w:t>inspection of all equipment for leaks</w:t>
            </w:r>
            <w:r w:rsidR="00A8017C">
              <w:t>, and</w:t>
            </w:r>
            <w:r w:rsidR="00A8017C" w:rsidRPr="007D1234">
              <w:t xml:space="preserve"> </w:t>
            </w:r>
            <w:r w:rsidR="00A8017C">
              <w:t xml:space="preserve">requires that </w:t>
            </w:r>
            <w:r w:rsidR="00A8017C" w:rsidRPr="007D1234">
              <w:t xml:space="preserve">any equipment found leaking is required to be promptly removed from a </w:t>
            </w:r>
            <w:r w:rsidR="00A8017C">
              <w:t>treatment</w:t>
            </w:r>
            <w:r w:rsidR="00A8017C" w:rsidRPr="007D1234">
              <w:t xml:space="preserve"> site.</w:t>
            </w:r>
            <w:r w:rsidR="00A8017C">
              <w:t xml:space="preserve"> This SPR would minimize leaks and the potential for resultant contamination to enter the environment. </w:t>
            </w:r>
            <w:r w:rsidR="00A8017C" w:rsidRPr="007D1234">
              <w:t xml:space="preserve">Furthermore, several </w:t>
            </w:r>
            <w:r w:rsidR="00A8017C">
              <w:t>federal and state laws</w:t>
            </w:r>
            <w:r w:rsidR="00A8017C" w:rsidRPr="007D1234">
              <w:t xml:space="preserve"> regulate the use, transport, storage, and disposal of hazardous materials, including the HWCA, DTSC</w:t>
            </w:r>
            <w:r w:rsidR="00A8017C">
              <w:t>’</w:t>
            </w:r>
            <w:r w:rsidR="00A8017C" w:rsidRPr="007D1234">
              <w:t xml:space="preserve">s Unified Program, and OSHA and EPA regulations, which </w:t>
            </w:r>
            <w:r w:rsidR="00A8017C">
              <w:t xml:space="preserve">all </w:t>
            </w:r>
            <w:r w:rsidR="00A8017C" w:rsidRPr="007D1234">
              <w:t>project proponents would be required to comply with.</w:t>
            </w:r>
            <w:r w:rsidR="00A8017C">
              <w:t xml:space="preserve"> </w:t>
            </w:r>
            <w:bookmarkStart w:id="99" w:name="_Hlk23775469"/>
            <w:r w:rsidR="00E82FE3" w:rsidRPr="00183DE0">
              <w:rPr>
                <w:u w:val="single"/>
              </w:rPr>
              <w:t>Accelerants</w:t>
            </w:r>
            <w:r w:rsidR="00A8017C" w:rsidRPr="00183DE0">
              <w:rPr>
                <w:u w:val="single"/>
              </w:rPr>
              <w:t xml:space="preserve"> would be used to implement prescribed burns; however, fire ignition (including use of accelerants) would not occur in the protection zones for watercourses (SPR HYD-4); therefore, water quality would not be affected.</w:t>
            </w:r>
            <w:bookmarkEnd w:id="99"/>
            <w:r w:rsidR="00A8017C" w:rsidRPr="00183DE0">
              <w:rPr>
                <w:u w:val="single"/>
              </w:rPr>
              <w:t xml:space="preserve"> </w:t>
            </w:r>
            <w:r w:rsidR="00A8017C" w:rsidRPr="007D1234">
              <w:t>Although implementation of the CalVTP would increase the pace and scale of treatments</w:t>
            </w:r>
            <w:r w:rsidR="00A8017C">
              <w:t xml:space="preserve"> and thus increase the use of hazardous materials in the treatable landscape</w:t>
            </w:r>
            <w:r w:rsidR="00A8017C" w:rsidRPr="007D1234">
              <w:t xml:space="preserve">, no new or more severe significant </w:t>
            </w:r>
            <w:r w:rsidR="00A8017C" w:rsidRPr="007D1234">
              <w:lastRenderedPageBreak/>
              <w:t xml:space="preserve">hazards </w:t>
            </w:r>
            <w:r w:rsidR="00A8017C">
              <w:t xml:space="preserve">to the public </w:t>
            </w:r>
            <w:r w:rsidR="00A8017C" w:rsidRPr="007D1234">
              <w:t xml:space="preserve">would be created </w:t>
            </w:r>
            <w:r w:rsidR="00A8017C">
              <w:t>from implementation of</w:t>
            </w:r>
            <w:r w:rsidR="00A8017C" w:rsidRPr="007D1234">
              <w:t xml:space="preserve"> the CalVTP. This impact </w:t>
            </w:r>
            <w:r w:rsidR="00A8017C">
              <w:t>would be</w:t>
            </w:r>
            <w:r w:rsidR="00A8017C" w:rsidRPr="007D1234">
              <w:t xml:space="preserve"> </w:t>
            </w:r>
            <w:r w:rsidR="00A8017C" w:rsidRPr="007D1234">
              <w:rPr>
                <w:b/>
              </w:rPr>
              <w:t>less than significant</w:t>
            </w:r>
            <w:r w:rsidR="00A8017C" w:rsidRPr="007D1234">
              <w:t>.</w:t>
            </w:r>
          </w:p>
        </w:tc>
        <w:tc>
          <w:tcPr>
            <w:tcW w:w="993" w:type="dxa"/>
          </w:tcPr>
          <w:p w14:paraId="522727D1" w14:textId="4A2E236B" w:rsidR="0036768C" w:rsidRPr="005B3573" w:rsidRDefault="0036768C" w:rsidP="0036768C">
            <w:pPr>
              <w:pStyle w:val="TableTextL"/>
              <w:jc w:val="center"/>
            </w:pPr>
            <w:r>
              <w:lastRenderedPageBreak/>
              <w:t>LTS</w:t>
            </w:r>
          </w:p>
        </w:tc>
        <w:tc>
          <w:tcPr>
            <w:tcW w:w="5893" w:type="dxa"/>
          </w:tcPr>
          <w:p w14:paraId="432F66BA" w14:textId="2B5674DE" w:rsidR="0036768C" w:rsidRPr="005B3573" w:rsidRDefault="0036768C" w:rsidP="0036768C">
            <w:pPr>
              <w:pStyle w:val="TableTextL"/>
              <w:rPr>
                <w:spacing w:val="-2"/>
              </w:rPr>
            </w:pPr>
            <w:r>
              <w:t>No mitigation is required.</w:t>
            </w:r>
          </w:p>
        </w:tc>
        <w:tc>
          <w:tcPr>
            <w:tcW w:w="938" w:type="dxa"/>
          </w:tcPr>
          <w:p w14:paraId="0C84B355" w14:textId="4686A98C" w:rsidR="0036768C" w:rsidRPr="005B3573" w:rsidRDefault="0036768C" w:rsidP="0036768C">
            <w:pPr>
              <w:pStyle w:val="TableTextL"/>
              <w:jc w:val="center"/>
            </w:pPr>
            <w:r>
              <w:t>LTS</w:t>
            </w:r>
          </w:p>
        </w:tc>
      </w:tr>
      <w:tr w:rsidR="0036768C" w:rsidRPr="005B3573" w14:paraId="32A3A81B" w14:textId="77777777" w:rsidTr="003060D2">
        <w:trPr>
          <w:jc w:val="center"/>
        </w:trPr>
        <w:tc>
          <w:tcPr>
            <w:tcW w:w="5856" w:type="dxa"/>
            <w:tcBorders>
              <w:bottom w:val="single" w:sz="4" w:space="0" w:color="auto"/>
            </w:tcBorders>
          </w:tcPr>
          <w:p w14:paraId="37CB6E85" w14:textId="77777777" w:rsidR="0036768C" w:rsidRPr="007B1EB3" w:rsidRDefault="0036768C" w:rsidP="0036768C">
            <w:pPr>
              <w:pStyle w:val="TableTextL"/>
              <w:rPr>
                <w:b/>
                <w:bCs/>
              </w:rPr>
            </w:pPr>
            <w:r w:rsidRPr="007B1EB3">
              <w:rPr>
                <w:b/>
                <w:bCs/>
              </w:rPr>
              <w:t>Impact HAZ-2: Create a Significant Health Hazard from the Use of Herbicides</w:t>
            </w:r>
          </w:p>
          <w:p w14:paraId="13EDC89F" w14:textId="125BB026" w:rsidR="0036768C" w:rsidRPr="007B1EB3" w:rsidRDefault="0036768C" w:rsidP="0036768C">
            <w:pPr>
              <w:pStyle w:val="TableTextL"/>
            </w:pPr>
            <w:r>
              <w:t>Herbicide application under the CalVTP would require increased transportation, use, storage, and disposal of various herbicides, which could result in risks related to human exposure when applied in areas in close proximity to the public. Under normal conditions, compliance with all laws, regulations, and herbicide label instructions, along with proper personal protective equipment (PPE), would prevent significant risks related to human exposure to herbicides. However, potentially adverse effects could occur if a large spill were to occur or should spraying from equipment on vehicles occur in close proximity to public areas. Several SPRs have been incorporated into the program to minimize the potential for significant health risks (SPR HAZ-5 through 9). These SPRs require project proponents to prepare a SPRP prior to beginning herbicide treatment activities to provide protection to onsite workers, the public, and the environment from accidental leaks or spills of herbicides, adjuvants, or other potential contaminants (SPR HAZ-5); comply with all herbicide application regulations to protect the safety of workers and the public during the transport, use, storage, and disposal of herbicides (SPR HAZ-6); triple rinse herbicide containers with clean water at an approved site and dispose of rinsate per 3 CCR Section 6684 and dispose of all herbicides following label requirements and waste disposal regulations to avoid direct contamination to a water body or watershed (SPR HAZ-7); employ techniques during herbicide application to minimize drift (SPR HAZ-8); and include signage indicating that herbicide application is occurring or has occurred where members of the public could be present within 500 feet of areas receiving herbicide treatments (SPR HAZ-9). Although implementation of the CalVTP would increase the pace and scale of treatments and thus increase the use of herbicides in the treatable landscape, no new or more severe significant hazards to the public would be created from implementation of the CalVTP. This impact would be less than significant.</w:t>
            </w:r>
          </w:p>
        </w:tc>
        <w:tc>
          <w:tcPr>
            <w:tcW w:w="993" w:type="dxa"/>
            <w:tcBorders>
              <w:bottom w:val="single" w:sz="4" w:space="0" w:color="auto"/>
            </w:tcBorders>
          </w:tcPr>
          <w:p w14:paraId="24363250" w14:textId="11378B1E" w:rsidR="0036768C" w:rsidRPr="005B3573" w:rsidRDefault="0036768C" w:rsidP="0036768C">
            <w:pPr>
              <w:pStyle w:val="TableText"/>
            </w:pPr>
            <w:r>
              <w:t>LTS</w:t>
            </w:r>
          </w:p>
        </w:tc>
        <w:tc>
          <w:tcPr>
            <w:tcW w:w="5893" w:type="dxa"/>
            <w:tcBorders>
              <w:bottom w:val="single" w:sz="4" w:space="0" w:color="auto"/>
            </w:tcBorders>
          </w:tcPr>
          <w:p w14:paraId="4E34E387" w14:textId="3A8B4FD4" w:rsidR="0036768C" w:rsidRPr="005B3573" w:rsidRDefault="0036768C" w:rsidP="0036768C">
            <w:pPr>
              <w:pStyle w:val="TableTextL"/>
            </w:pPr>
            <w:r>
              <w:t>No mitigation is required.</w:t>
            </w:r>
          </w:p>
        </w:tc>
        <w:tc>
          <w:tcPr>
            <w:tcW w:w="938" w:type="dxa"/>
            <w:tcBorders>
              <w:bottom w:val="single" w:sz="4" w:space="0" w:color="auto"/>
            </w:tcBorders>
          </w:tcPr>
          <w:p w14:paraId="5E09A249" w14:textId="6135FFA0" w:rsidR="0036768C" w:rsidRPr="005B3573" w:rsidRDefault="0036768C" w:rsidP="0036768C">
            <w:pPr>
              <w:pStyle w:val="TableText"/>
            </w:pPr>
            <w:r>
              <w:t>LTS</w:t>
            </w:r>
          </w:p>
        </w:tc>
      </w:tr>
      <w:tr w:rsidR="0036768C" w:rsidRPr="005B3573" w14:paraId="082E67F7" w14:textId="77777777" w:rsidTr="003060D2">
        <w:trPr>
          <w:jc w:val="center"/>
        </w:trPr>
        <w:tc>
          <w:tcPr>
            <w:tcW w:w="5856" w:type="dxa"/>
          </w:tcPr>
          <w:p w14:paraId="517BF713" w14:textId="77777777" w:rsidR="0036768C" w:rsidRPr="00C0483E" w:rsidRDefault="0036768C" w:rsidP="0036768C">
            <w:pPr>
              <w:pStyle w:val="TableTextL"/>
              <w:rPr>
                <w:b/>
                <w:bCs/>
              </w:rPr>
            </w:pPr>
            <w:r w:rsidRPr="00C0483E">
              <w:rPr>
                <w:b/>
                <w:bCs/>
              </w:rPr>
              <w:t xml:space="preserve">Impact HAZ-3: </w:t>
            </w:r>
            <w:bookmarkStart w:id="100" w:name="_Hlk25230888"/>
            <w:r w:rsidRPr="00C0483E">
              <w:rPr>
                <w:b/>
                <w:bCs/>
              </w:rPr>
              <w:t>Expose the Public or Environment to Significant Hazards from Disturbance to Known Hazardous Material Sites</w:t>
            </w:r>
            <w:bookmarkEnd w:id="100"/>
          </w:p>
          <w:p w14:paraId="1B7F9854" w14:textId="1BC284AC" w:rsidR="0036768C" w:rsidRPr="00C0483E" w:rsidRDefault="0036768C" w:rsidP="0036768C">
            <w:pPr>
              <w:pStyle w:val="TableTextL"/>
            </w:pPr>
            <w:r>
              <w:t xml:space="preserve">Soil disturbance by mechanical treatments and prescribed burning have the potential to expose workers, the public, and the environment to risks associated </w:t>
            </w:r>
            <w:r>
              <w:lastRenderedPageBreak/>
              <w:t>with existing hazardous materials if present within treatment areas. Treatment activities would typically occur in undeveloped areas, which are unlikely to contain hazardous materials; however, there is a risk that contamination could exist. Disturbance of contaminated sites could result in the exposure of the public and environment to health hazards from existing hazardous materials. This impact is potentially significant.</w:t>
            </w:r>
          </w:p>
        </w:tc>
        <w:tc>
          <w:tcPr>
            <w:tcW w:w="993" w:type="dxa"/>
          </w:tcPr>
          <w:p w14:paraId="0903A06A" w14:textId="216A42AD" w:rsidR="0036768C" w:rsidRPr="005B3573" w:rsidRDefault="0036768C" w:rsidP="0036768C">
            <w:pPr>
              <w:pStyle w:val="TableTextL"/>
              <w:jc w:val="center"/>
            </w:pPr>
            <w:r>
              <w:lastRenderedPageBreak/>
              <w:t>PS</w:t>
            </w:r>
          </w:p>
        </w:tc>
        <w:tc>
          <w:tcPr>
            <w:tcW w:w="5893" w:type="dxa"/>
          </w:tcPr>
          <w:p w14:paraId="4BA3EA13" w14:textId="77777777" w:rsidR="0036768C" w:rsidRPr="00E20A3C" w:rsidRDefault="0036768C" w:rsidP="0036768C">
            <w:pPr>
              <w:pStyle w:val="TableTextL"/>
              <w:rPr>
                <w:b/>
                <w:bCs/>
              </w:rPr>
            </w:pPr>
            <w:r w:rsidRPr="00E20A3C">
              <w:rPr>
                <w:b/>
                <w:bCs/>
              </w:rPr>
              <w:t xml:space="preserve">Mitigation Measure HAZ-3: </w:t>
            </w:r>
            <w:bookmarkStart w:id="101" w:name="_Hlk25230919"/>
            <w:r w:rsidRPr="00E20A3C">
              <w:rPr>
                <w:b/>
                <w:bCs/>
              </w:rPr>
              <w:t>Identify and Avoid Known Hazardous Waste Sites</w:t>
            </w:r>
            <w:bookmarkEnd w:id="101"/>
          </w:p>
          <w:p w14:paraId="6B2DCA70" w14:textId="6B2C93CC" w:rsidR="0036768C" w:rsidRPr="005B3573" w:rsidRDefault="0036768C" w:rsidP="0036768C">
            <w:pPr>
              <w:pStyle w:val="TableTextL"/>
            </w:pPr>
            <w:r w:rsidRPr="00125071">
              <w:t>Prior to the start of vegetation treatment activities</w:t>
            </w:r>
            <w:r>
              <w:t xml:space="preserve"> requiring soil disturbance (i.e., mechanical treatments) or prescribed burning, CAL FIRE and other project proponents will </w:t>
            </w:r>
            <w:r w:rsidRPr="00931675">
              <w:t xml:space="preserve">make reasonable efforts to check with </w:t>
            </w:r>
            <w:r>
              <w:t xml:space="preserve">the landowner or other </w:t>
            </w:r>
            <w:r>
              <w:lastRenderedPageBreak/>
              <w:t>entity with jurisdiction (e.g., California Department of Parks and Recreation) to determine if there are any sites known to have previously used, stored, or disposed of hazardous materials. If it is determined that hazardous materials sites could be located within the boundary of a treatment site,</w:t>
            </w:r>
            <w:r w:rsidRPr="00125071">
              <w:t xml:space="preserve"> the project </w:t>
            </w:r>
            <w:r>
              <w:t xml:space="preserve">proponent will </w:t>
            </w:r>
            <w:r w:rsidRPr="00125071">
              <w:t xml:space="preserve">conduct </w:t>
            </w:r>
            <w:r>
              <w:t xml:space="preserve">a </w:t>
            </w:r>
            <w:r w:rsidRPr="00125071">
              <w:t>DTSC EnviroStor web search</w:t>
            </w:r>
            <w:r>
              <w:t xml:space="preserve"> </w:t>
            </w:r>
            <w:r w:rsidRPr="00125071">
              <w:t>(</w:t>
            </w:r>
            <w:hyperlink r:id="rId16" w:history="1">
              <w:r w:rsidRPr="00125071">
                <w:rPr>
                  <w:rStyle w:val="Hyperlink"/>
                </w:rPr>
                <w:t>https://www.envirostor.dtsc.ca.gov/public/</w:t>
              </w:r>
            </w:hyperlink>
            <w:r w:rsidRPr="00125071">
              <w:t>)</w:t>
            </w:r>
            <w:r>
              <w:t xml:space="preserve"> and consult DTSC’s Cortese List</w:t>
            </w:r>
            <w:r w:rsidRPr="00125071">
              <w:t xml:space="preserve"> to identify any known contamination sites within the </w:t>
            </w:r>
            <w:r>
              <w:t>project site</w:t>
            </w:r>
            <w:r w:rsidRPr="00125071">
              <w:t xml:space="preserve">. If a proposed </w:t>
            </w:r>
            <w:r>
              <w:t>mechanical treatment or prescribed burn</w:t>
            </w:r>
            <w:r w:rsidRPr="00125071">
              <w:t xml:space="preserve"> is located on</w:t>
            </w:r>
            <w:r>
              <w:t xml:space="preserve"> a</w:t>
            </w:r>
            <w:r w:rsidRPr="00125071">
              <w:t xml:space="preserve"> site included on the DTSC Cortese List</w:t>
            </w:r>
            <w:r>
              <w:t xml:space="preserve"> as containing potential soil contamination that has not been cleaned up and deemed closed by DTSC</w:t>
            </w:r>
            <w:r w:rsidRPr="00125071">
              <w:t>,</w:t>
            </w:r>
            <w:r>
              <w:t xml:space="preserve"> the area will be marked and</w:t>
            </w:r>
            <w:r w:rsidRPr="00125071">
              <w:t xml:space="preserve"> no</w:t>
            </w:r>
            <w:r>
              <w:t xml:space="preserve"> prescribed burning or soil disturbing</w:t>
            </w:r>
            <w:r w:rsidRPr="00125071">
              <w:t xml:space="preserve"> </w:t>
            </w:r>
            <w:r>
              <w:t xml:space="preserve">treatment </w:t>
            </w:r>
            <w:r w:rsidRPr="00125071">
              <w:t xml:space="preserve">activities </w:t>
            </w:r>
            <w:r>
              <w:t>will</w:t>
            </w:r>
            <w:r w:rsidRPr="00125071">
              <w:t xml:space="preserve"> occur within 100 feet of the site boundaries. </w:t>
            </w:r>
            <w:r>
              <w:t>If it is determined through coordination with landowners or after review of the Cortese List that no potential or known contamination is located on a project site, the project may proceed as planned.</w:t>
            </w:r>
          </w:p>
        </w:tc>
        <w:tc>
          <w:tcPr>
            <w:tcW w:w="938" w:type="dxa"/>
          </w:tcPr>
          <w:p w14:paraId="56BC12E9" w14:textId="072E2464" w:rsidR="0036768C" w:rsidRPr="005B3573" w:rsidRDefault="0036768C" w:rsidP="0036768C">
            <w:pPr>
              <w:pStyle w:val="TableTextL"/>
              <w:jc w:val="center"/>
            </w:pPr>
            <w:r>
              <w:lastRenderedPageBreak/>
              <w:t>LTS</w:t>
            </w:r>
            <w:r w:rsidR="00462E42">
              <w:t>M</w:t>
            </w:r>
          </w:p>
        </w:tc>
      </w:tr>
      <w:tr w:rsidR="0036768C" w:rsidRPr="005B3573" w14:paraId="7F8066FC" w14:textId="77777777" w:rsidTr="002B7098">
        <w:trPr>
          <w:jc w:val="center"/>
        </w:trPr>
        <w:tc>
          <w:tcPr>
            <w:tcW w:w="5856" w:type="dxa"/>
            <w:tcBorders>
              <w:top w:val="single" w:sz="4" w:space="0" w:color="auto"/>
              <w:right w:val="nil"/>
            </w:tcBorders>
            <w:shd w:val="clear" w:color="auto" w:fill="F2F2F2" w:themeFill="background1" w:themeFillShade="F2"/>
          </w:tcPr>
          <w:p w14:paraId="695509D1" w14:textId="2768550E" w:rsidR="0036768C" w:rsidRPr="00931675" w:rsidRDefault="0036768C" w:rsidP="0036768C">
            <w:pPr>
              <w:pStyle w:val="TableTextL"/>
              <w:keepNext/>
              <w:rPr>
                <w:b/>
              </w:rPr>
            </w:pPr>
            <w:r w:rsidRPr="00931675">
              <w:rPr>
                <w:b/>
              </w:rPr>
              <w:t xml:space="preserve">Hydrology and Water Quality </w:t>
            </w:r>
          </w:p>
        </w:tc>
        <w:tc>
          <w:tcPr>
            <w:tcW w:w="993" w:type="dxa"/>
            <w:tcBorders>
              <w:top w:val="single" w:sz="4" w:space="0" w:color="auto"/>
              <w:left w:val="nil"/>
              <w:right w:val="nil"/>
            </w:tcBorders>
            <w:shd w:val="clear" w:color="auto" w:fill="F2F2F2" w:themeFill="background1" w:themeFillShade="F2"/>
          </w:tcPr>
          <w:p w14:paraId="7E66854B" w14:textId="77777777" w:rsidR="0036768C" w:rsidRPr="005B3573" w:rsidRDefault="0036768C" w:rsidP="0036768C">
            <w:pPr>
              <w:pStyle w:val="TableTextL"/>
              <w:jc w:val="center"/>
              <w:rPr>
                <w:b/>
              </w:rPr>
            </w:pPr>
          </w:p>
        </w:tc>
        <w:tc>
          <w:tcPr>
            <w:tcW w:w="5893" w:type="dxa"/>
            <w:tcBorders>
              <w:top w:val="single" w:sz="4" w:space="0" w:color="auto"/>
              <w:left w:val="nil"/>
              <w:right w:val="nil"/>
            </w:tcBorders>
            <w:shd w:val="clear" w:color="auto" w:fill="F2F2F2" w:themeFill="background1" w:themeFillShade="F2"/>
          </w:tcPr>
          <w:p w14:paraId="3E147D71" w14:textId="77777777" w:rsidR="0036768C" w:rsidRPr="005B3573" w:rsidRDefault="0036768C" w:rsidP="0036768C">
            <w:pPr>
              <w:pStyle w:val="TableTextL"/>
              <w:rPr>
                <w:b/>
              </w:rPr>
            </w:pPr>
          </w:p>
        </w:tc>
        <w:tc>
          <w:tcPr>
            <w:tcW w:w="938" w:type="dxa"/>
            <w:tcBorders>
              <w:top w:val="single" w:sz="4" w:space="0" w:color="auto"/>
              <w:left w:val="nil"/>
            </w:tcBorders>
            <w:shd w:val="clear" w:color="auto" w:fill="F2F2F2" w:themeFill="background1" w:themeFillShade="F2"/>
          </w:tcPr>
          <w:p w14:paraId="331D20CF" w14:textId="77777777" w:rsidR="0036768C" w:rsidRPr="005B3573" w:rsidRDefault="0036768C" w:rsidP="0036768C">
            <w:pPr>
              <w:pStyle w:val="TableTextL"/>
              <w:jc w:val="center"/>
              <w:rPr>
                <w:b/>
              </w:rPr>
            </w:pPr>
          </w:p>
        </w:tc>
      </w:tr>
      <w:tr w:rsidR="0036768C" w:rsidRPr="005B3573" w14:paraId="6DF6CD72" w14:textId="77777777" w:rsidTr="002B7098">
        <w:trPr>
          <w:jc w:val="center"/>
        </w:trPr>
        <w:tc>
          <w:tcPr>
            <w:tcW w:w="5856" w:type="dxa"/>
            <w:tcBorders>
              <w:bottom w:val="single" w:sz="4" w:space="0" w:color="auto"/>
            </w:tcBorders>
          </w:tcPr>
          <w:p w14:paraId="27CBDA19" w14:textId="77777777" w:rsidR="0036768C" w:rsidRPr="00F751BE" w:rsidRDefault="0036768C" w:rsidP="0036768C">
            <w:pPr>
              <w:pStyle w:val="TableTextL"/>
              <w:rPr>
                <w:b/>
                <w:bCs/>
              </w:rPr>
            </w:pPr>
            <w:r w:rsidRPr="00F751BE">
              <w:rPr>
                <w:b/>
                <w:bCs/>
              </w:rPr>
              <w:t>Impact HYD-1: Violate Water Quality Standards or Waste Discharge Requirements, Substantially Degrade Surface or Ground Water Quality, or Conflict with or Obstruct the Implementation of a Water Quality Control Plan Through the Implementation of Prescribed Burning</w:t>
            </w:r>
          </w:p>
          <w:p w14:paraId="0C0DB067" w14:textId="527AC394" w:rsidR="0036768C" w:rsidRPr="00797344" w:rsidRDefault="0036768C" w:rsidP="0036768C">
            <w:pPr>
              <w:pStyle w:val="TableTextL"/>
              <w:rPr>
                <w:spacing w:val="-2"/>
              </w:rPr>
            </w:pPr>
            <w:r w:rsidRPr="00797344">
              <w:rPr>
                <w:spacing w:val="-2"/>
              </w:rPr>
              <w:t>Implementation of the CalVTP includes prescribed broadcast burning and pile burning in tree, shrub, and grass fuel types across the state. Prescribed broadcast burning would include fire behavior modeling and burning would be conducted when fuel moisture and environmental conditions allow for effective fuel reduction while reducing the risk of high severity burns. The patchwork of low and moderate intensity fire in a prescribed burn would preserve vegetated islands to capture runoff and sediment and buffers would be preserved to act as buffers around watercourses. Compared to forested and grassland environments, prescribed fire in chaparral and shrublands is more likely to result in severe burns and increased sediment loading. However, the proposed program would utilize prescribed burning in these vegetation types only when it is consistent with the natural fire return interval or when the project proponent clearly demonstrates that habitat function would be protected. Because the CalVTP includes SPRs incorporating best management practices to protect water quality, the potential for prescribed burns implemented under the CalVTP to adversely affect water quality would be less than significant.</w:t>
            </w:r>
          </w:p>
        </w:tc>
        <w:tc>
          <w:tcPr>
            <w:tcW w:w="993" w:type="dxa"/>
            <w:tcBorders>
              <w:bottom w:val="single" w:sz="4" w:space="0" w:color="auto"/>
            </w:tcBorders>
          </w:tcPr>
          <w:p w14:paraId="04351D03" w14:textId="368279AE" w:rsidR="0036768C" w:rsidRPr="005B3573" w:rsidRDefault="0036768C" w:rsidP="0036768C">
            <w:pPr>
              <w:pStyle w:val="TableTextL"/>
              <w:jc w:val="center"/>
            </w:pPr>
            <w:r>
              <w:t>LTS</w:t>
            </w:r>
          </w:p>
        </w:tc>
        <w:tc>
          <w:tcPr>
            <w:tcW w:w="5893" w:type="dxa"/>
            <w:tcBorders>
              <w:bottom w:val="single" w:sz="4" w:space="0" w:color="auto"/>
            </w:tcBorders>
          </w:tcPr>
          <w:p w14:paraId="04A6BB68" w14:textId="4682DE4E" w:rsidR="0036768C" w:rsidRPr="005B3573" w:rsidRDefault="0036768C" w:rsidP="0036768C">
            <w:pPr>
              <w:pStyle w:val="TableTextL"/>
            </w:pPr>
            <w:r>
              <w:t>No mitigation is required.</w:t>
            </w:r>
          </w:p>
        </w:tc>
        <w:tc>
          <w:tcPr>
            <w:tcW w:w="938" w:type="dxa"/>
            <w:tcBorders>
              <w:bottom w:val="single" w:sz="4" w:space="0" w:color="auto"/>
            </w:tcBorders>
          </w:tcPr>
          <w:p w14:paraId="0B704AEB" w14:textId="259724DD" w:rsidR="0036768C" w:rsidRPr="005B3573" w:rsidRDefault="0036768C" w:rsidP="0036768C">
            <w:pPr>
              <w:pStyle w:val="TableTextL"/>
              <w:jc w:val="center"/>
            </w:pPr>
            <w:r>
              <w:t>LTS</w:t>
            </w:r>
          </w:p>
        </w:tc>
      </w:tr>
      <w:tr w:rsidR="0036768C" w:rsidRPr="005B3573" w14:paraId="30573552" w14:textId="77777777" w:rsidTr="002B7098">
        <w:trPr>
          <w:jc w:val="center"/>
        </w:trPr>
        <w:tc>
          <w:tcPr>
            <w:tcW w:w="5856" w:type="dxa"/>
            <w:tcBorders>
              <w:bottom w:val="single" w:sz="4" w:space="0" w:color="auto"/>
            </w:tcBorders>
          </w:tcPr>
          <w:p w14:paraId="628610D6" w14:textId="77777777" w:rsidR="0036768C" w:rsidRPr="00D71065" w:rsidRDefault="0036768C" w:rsidP="0036768C">
            <w:pPr>
              <w:pStyle w:val="TableTextL"/>
              <w:rPr>
                <w:b/>
                <w:bCs/>
              </w:rPr>
            </w:pPr>
            <w:r w:rsidRPr="00D71065">
              <w:rPr>
                <w:b/>
                <w:bCs/>
              </w:rPr>
              <w:lastRenderedPageBreak/>
              <w:t>Impact HYD-2: Violate Water Quality Standards or Waste Discharge Requirements, Substantially Degrade Surface or Ground Water Quality, or Conflict with or Obstruct the Implementation of a Water Quality Control Plan Through the Implementation of Manual or Mechanical Treatment Activities</w:t>
            </w:r>
          </w:p>
          <w:p w14:paraId="3B177AA6" w14:textId="4C40C09A" w:rsidR="0036768C" w:rsidRPr="00931675" w:rsidRDefault="0036768C" w:rsidP="0036768C">
            <w:pPr>
              <w:pStyle w:val="TableTextL"/>
            </w:pPr>
            <w:r>
              <w:t>The proposed CalVTP includes manual and mechanical treatment activities to reduce wildfire risk within the treatable landscape. All qualifying manual and mechanical treatments implemented under the CalVTP would integrate SPRs into treatment design to protect watercourses, limit equipment use on wet soils or steep slopes, stabilize highly disturbed areas, prevent concentration of runoff in non-shaded fuel breaks, and prevent spill or leaks from equipment. Implementation of SPRs would avoid and minimize the risk of substantial degradation to surface or groundwater quality from manual or mechanical treatment activities; this impact would be less than significant.</w:t>
            </w:r>
          </w:p>
        </w:tc>
        <w:tc>
          <w:tcPr>
            <w:tcW w:w="993" w:type="dxa"/>
            <w:tcBorders>
              <w:bottom w:val="single" w:sz="4" w:space="0" w:color="auto"/>
            </w:tcBorders>
          </w:tcPr>
          <w:p w14:paraId="0EC8F658" w14:textId="3B26F55D" w:rsidR="0036768C" w:rsidRPr="005B3573" w:rsidRDefault="0036768C" w:rsidP="0036768C">
            <w:pPr>
              <w:pStyle w:val="TableTextL"/>
              <w:jc w:val="center"/>
            </w:pPr>
            <w:r>
              <w:t>LTS</w:t>
            </w:r>
          </w:p>
        </w:tc>
        <w:tc>
          <w:tcPr>
            <w:tcW w:w="5893" w:type="dxa"/>
            <w:tcBorders>
              <w:bottom w:val="single" w:sz="4" w:space="0" w:color="auto"/>
            </w:tcBorders>
          </w:tcPr>
          <w:p w14:paraId="4E9F3EBF" w14:textId="609FB724" w:rsidR="0036768C" w:rsidRPr="005B3573" w:rsidRDefault="0036768C" w:rsidP="0036768C">
            <w:pPr>
              <w:pStyle w:val="TableTextL"/>
            </w:pPr>
            <w:r>
              <w:t>No mitigation is required.</w:t>
            </w:r>
          </w:p>
        </w:tc>
        <w:tc>
          <w:tcPr>
            <w:tcW w:w="938" w:type="dxa"/>
            <w:tcBorders>
              <w:bottom w:val="single" w:sz="4" w:space="0" w:color="auto"/>
            </w:tcBorders>
          </w:tcPr>
          <w:p w14:paraId="4E3708BE" w14:textId="6A41CF6B" w:rsidR="0036768C" w:rsidRPr="005B3573" w:rsidRDefault="0036768C" w:rsidP="0036768C">
            <w:pPr>
              <w:pStyle w:val="TableTextL"/>
              <w:jc w:val="center"/>
            </w:pPr>
            <w:r>
              <w:t>LTS</w:t>
            </w:r>
          </w:p>
        </w:tc>
      </w:tr>
      <w:tr w:rsidR="0036768C" w:rsidRPr="005B3573" w14:paraId="7F8E3357" w14:textId="77777777" w:rsidTr="003060D2">
        <w:trPr>
          <w:jc w:val="center"/>
        </w:trPr>
        <w:tc>
          <w:tcPr>
            <w:tcW w:w="5856" w:type="dxa"/>
          </w:tcPr>
          <w:p w14:paraId="5ACEF7B1" w14:textId="77777777" w:rsidR="0036768C" w:rsidRPr="00797344" w:rsidRDefault="0036768C" w:rsidP="0036768C">
            <w:pPr>
              <w:pStyle w:val="TableTextL"/>
              <w:rPr>
                <w:b/>
                <w:bCs/>
                <w:spacing w:val="-2"/>
              </w:rPr>
            </w:pPr>
            <w:r w:rsidRPr="00797344">
              <w:rPr>
                <w:b/>
                <w:bCs/>
                <w:spacing w:val="-2"/>
              </w:rPr>
              <w:t>Impact HYD-3: Violate Water Quality Standards or Waste Discharge Requirements, Substantially Degrade Surface or Ground Water Quality, or Conflict with or Obstruct the Implementation of a Water Quality Control Plan Through Prescribed Herbivory</w:t>
            </w:r>
          </w:p>
          <w:p w14:paraId="257B5F6A" w14:textId="51013451" w:rsidR="0036768C" w:rsidRPr="00931675" w:rsidRDefault="0036768C" w:rsidP="0036768C">
            <w:pPr>
              <w:pStyle w:val="TableTextL"/>
            </w:pPr>
            <w:r>
              <w:t>The proposed program includes the use of prescribed herbivory to reduce fuels. Qualifying treatments under the proposed CalVTP would incorporate livestock management best practices in SPR HYD-3 which exclude grazing animals from sensitive areas, provide alternative water sources, and move animals when erosion is observed. For these reasons, the risk of substantial degradation to surface or groundwater quality from prescribed herbivory would be less than significant.</w:t>
            </w:r>
          </w:p>
        </w:tc>
        <w:tc>
          <w:tcPr>
            <w:tcW w:w="993" w:type="dxa"/>
          </w:tcPr>
          <w:p w14:paraId="090834A3" w14:textId="6F9F6AAA" w:rsidR="0036768C" w:rsidRPr="005B3573" w:rsidRDefault="0036768C" w:rsidP="0036768C">
            <w:pPr>
              <w:pStyle w:val="TableTextL"/>
              <w:jc w:val="center"/>
            </w:pPr>
            <w:r>
              <w:t>LTS</w:t>
            </w:r>
          </w:p>
        </w:tc>
        <w:tc>
          <w:tcPr>
            <w:tcW w:w="5893" w:type="dxa"/>
          </w:tcPr>
          <w:p w14:paraId="1AD7FD80" w14:textId="51CBE63B" w:rsidR="0036768C" w:rsidRPr="005B3573" w:rsidRDefault="0036768C" w:rsidP="0036768C">
            <w:pPr>
              <w:pStyle w:val="TableTextL"/>
            </w:pPr>
            <w:r>
              <w:t>No mitigation is required.</w:t>
            </w:r>
          </w:p>
        </w:tc>
        <w:tc>
          <w:tcPr>
            <w:tcW w:w="938" w:type="dxa"/>
          </w:tcPr>
          <w:p w14:paraId="6B24D863" w14:textId="164C439F" w:rsidR="0036768C" w:rsidRPr="005B3573" w:rsidRDefault="0036768C" w:rsidP="0036768C">
            <w:pPr>
              <w:pStyle w:val="TableTextL"/>
              <w:jc w:val="center"/>
            </w:pPr>
            <w:r>
              <w:t>LTS</w:t>
            </w:r>
          </w:p>
        </w:tc>
      </w:tr>
      <w:tr w:rsidR="0036768C" w:rsidRPr="005B3573" w14:paraId="4CA77DE1" w14:textId="77777777" w:rsidTr="003060D2">
        <w:trPr>
          <w:jc w:val="center"/>
        </w:trPr>
        <w:tc>
          <w:tcPr>
            <w:tcW w:w="5856" w:type="dxa"/>
          </w:tcPr>
          <w:p w14:paraId="3B3B2DA8" w14:textId="77777777" w:rsidR="0036768C" w:rsidRPr="00D71065" w:rsidRDefault="0036768C" w:rsidP="0036768C">
            <w:pPr>
              <w:pStyle w:val="TableTextL"/>
              <w:rPr>
                <w:b/>
                <w:bCs/>
              </w:rPr>
            </w:pPr>
            <w:r w:rsidRPr="00D71065">
              <w:rPr>
                <w:b/>
                <w:bCs/>
              </w:rPr>
              <w:t>Impact HYD-4: Violate Water Quality Standards or Waste Discharge Requirements, Substantially Degrade Surface or Ground Water Quality, or Conflict with or Obstruct the Implementation of a Water Quality Control Plan Through the Ground Application of Herbicides</w:t>
            </w:r>
          </w:p>
          <w:p w14:paraId="0D5487AC" w14:textId="6853523B" w:rsidR="0036768C" w:rsidRPr="00931675" w:rsidRDefault="0036768C" w:rsidP="0036768C">
            <w:pPr>
              <w:pStyle w:val="TableTextL"/>
            </w:pPr>
            <w:r>
              <w:t xml:space="preserve">The CalVTP would ensure that herbicides are applied according to the manufacturer’s label directions and consistent with program SPRs which limit herbicide use in sensitive areas or under conditions that could lead to misapplication and require each project to be prepared to respond to a spill. Because qualifying projects would integrate these protective measures into treatment design, risk of substantial degradation to surface or groundwater quality </w:t>
            </w:r>
            <w:r>
              <w:lastRenderedPageBreak/>
              <w:t>from herbicide application would be avoided and minimized; this impact would be less than significant.</w:t>
            </w:r>
          </w:p>
        </w:tc>
        <w:tc>
          <w:tcPr>
            <w:tcW w:w="993" w:type="dxa"/>
          </w:tcPr>
          <w:p w14:paraId="7EE576B8" w14:textId="674C54BD" w:rsidR="0036768C" w:rsidRPr="005B3573" w:rsidRDefault="0036768C" w:rsidP="0036768C">
            <w:pPr>
              <w:pStyle w:val="TableTextL"/>
              <w:jc w:val="center"/>
            </w:pPr>
            <w:r>
              <w:lastRenderedPageBreak/>
              <w:t>LTS</w:t>
            </w:r>
          </w:p>
        </w:tc>
        <w:tc>
          <w:tcPr>
            <w:tcW w:w="5893" w:type="dxa"/>
          </w:tcPr>
          <w:p w14:paraId="44087B9C" w14:textId="765BB6A4" w:rsidR="0036768C" w:rsidRPr="005B3573" w:rsidRDefault="0036768C" w:rsidP="0036768C">
            <w:pPr>
              <w:pStyle w:val="TableTextL"/>
            </w:pPr>
            <w:r>
              <w:t>No mitigation is required.</w:t>
            </w:r>
          </w:p>
        </w:tc>
        <w:tc>
          <w:tcPr>
            <w:tcW w:w="938" w:type="dxa"/>
          </w:tcPr>
          <w:p w14:paraId="147AF8CD" w14:textId="377AA591" w:rsidR="0036768C" w:rsidRPr="005B3573" w:rsidRDefault="0036768C" w:rsidP="0036768C">
            <w:pPr>
              <w:pStyle w:val="TableTextL"/>
              <w:jc w:val="center"/>
            </w:pPr>
            <w:r>
              <w:t>LTS</w:t>
            </w:r>
          </w:p>
        </w:tc>
      </w:tr>
      <w:tr w:rsidR="0036768C" w:rsidRPr="005B3573" w14:paraId="5329456B" w14:textId="77777777" w:rsidTr="003060D2">
        <w:trPr>
          <w:jc w:val="center"/>
        </w:trPr>
        <w:tc>
          <w:tcPr>
            <w:tcW w:w="5856" w:type="dxa"/>
          </w:tcPr>
          <w:p w14:paraId="7D59D9B3" w14:textId="77777777" w:rsidR="0036768C" w:rsidRPr="00797344" w:rsidRDefault="0036768C" w:rsidP="00183DE0">
            <w:pPr>
              <w:pStyle w:val="TableTextL"/>
              <w:keepNext/>
              <w:rPr>
                <w:b/>
                <w:bCs/>
                <w:spacing w:val="-6"/>
              </w:rPr>
            </w:pPr>
            <w:r w:rsidRPr="00797344">
              <w:rPr>
                <w:b/>
                <w:bCs/>
                <w:spacing w:val="-6"/>
              </w:rPr>
              <w:t>Impact HYD-5: Substantially Alter the Existing Drainage Pattern of a Treatment Site or Area</w:t>
            </w:r>
          </w:p>
          <w:p w14:paraId="5094FD6D" w14:textId="7B01AD79" w:rsidR="0036768C" w:rsidRPr="00931675" w:rsidRDefault="0036768C" w:rsidP="00183DE0">
            <w:pPr>
              <w:pStyle w:val="TableTextL"/>
              <w:keepNext/>
            </w:pPr>
            <w:r>
              <w:t>Treatments implemented under the CalVTP would include ground disturbing activities that could intersect existing drainage infrastructure at treatment sites. As discussed in Impacts HYD-1 through HYD-4, prescribed burning, prescribed herbivory, and most forms of mechanical vegetation removal would have minor effects on site drainage. Non-shaded fuel breaks constructed along roadways could intersect existing roadway drainage systems. SPR HYD-6 requires that all projects avoid disturbance of existing drainage systems and maintain pre-treatment drainage conditions. Therefore, qualifying treatments implemented under the CalVTP would not substantially alter the existing drainage pattern of a treatment site or area. This impact would be less than significant.</w:t>
            </w:r>
          </w:p>
        </w:tc>
        <w:tc>
          <w:tcPr>
            <w:tcW w:w="993" w:type="dxa"/>
          </w:tcPr>
          <w:p w14:paraId="7ECB0C85" w14:textId="53D09254" w:rsidR="0036768C" w:rsidRPr="005B3573" w:rsidRDefault="0036768C" w:rsidP="00183DE0">
            <w:pPr>
              <w:pStyle w:val="TableTextL"/>
              <w:keepNext/>
              <w:jc w:val="center"/>
            </w:pPr>
            <w:r>
              <w:t>LTS</w:t>
            </w:r>
          </w:p>
        </w:tc>
        <w:tc>
          <w:tcPr>
            <w:tcW w:w="5893" w:type="dxa"/>
          </w:tcPr>
          <w:p w14:paraId="4EAC46EC" w14:textId="038A928F" w:rsidR="0036768C" w:rsidRPr="005B3573" w:rsidRDefault="0036768C" w:rsidP="00183DE0">
            <w:pPr>
              <w:pStyle w:val="TableBullet2"/>
              <w:keepNext/>
              <w:numPr>
                <w:ilvl w:val="0"/>
                <w:numId w:val="0"/>
              </w:numPr>
              <w:spacing w:after="0" w:line="240" w:lineRule="exact"/>
            </w:pPr>
            <w:r>
              <w:t>No mitigation is required.</w:t>
            </w:r>
          </w:p>
        </w:tc>
        <w:tc>
          <w:tcPr>
            <w:tcW w:w="938" w:type="dxa"/>
          </w:tcPr>
          <w:p w14:paraId="4229A845" w14:textId="76253CF5" w:rsidR="0036768C" w:rsidRPr="005B3573" w:rsidRDefault="0036768C" w:rsidP="00183DE0">
            <w:pPr>
              <w:pStyle w:val="TableTextL"/>
              <w:keepNext/>
              <w:jc w:val="center"/>
            </w:pPr>
            <w:r>
              <w:t>LTS</w:t>
            </w:r>
          </w:p>
        </w:tc>
      </w:tr>
      <w:tr w:rsidR="0036768C" w:rsidRPr="005B3573" w14:paraId="684B08B0" w14:textId="77777777" w:rsidTr="002B7098">
        <w:trPr>
          <w:jc w:val="center"/>
        </w:trPr>
        <w:tc>
          <w:tcPr>
            <w:tcW w:w="5856" w:type="dxa"/>
            <w:tcBorders>
              <w:top w:val="single" w:sz="4" w:space="0" w:color="auto"/>
              <w:right w:val="nil"/>
            </w:tcBorders>
            <w:shd w:val="clear" w:color="auto" w:fill="F2F2F2" w:themeFill="background1" w:themeFillShade="F2"/>
          </w:tcPr>
          <w:p w14:paraId="11B2D065" w14:textId="2713830B" w:rsidR="0036768C" w:rsidRPr="00931675" w:rsidRDefault="0036768C" w:rsidP="0036768C">
            <w:pPr>
              <w:pStyle w:val="TableTextL"/>
              <w:keepNext/>
              <w:rPr>
                <w:b/>
              </w:rPr>
            </w:pPr>
            <w:r w:rsidRPr="00931675">
              <w:rPr>
                <w:b/>
              </w:rPr>
              <w:t>Land Use and Planning, Population and Housing</w:t>
            </w:r>
          </w:p>
        </w:tc>
        <w:tc>
          <w:tcPr>
            <w:tcW w:w="993" w:type="dxa"/>
            <w:tcBorders>
              <w:top w:val="single" w:sz="4" w:space="0" w:color="auto"/>
              <w:left w:val="nil"/>
              <w:right w:val="nil"/>
            </w:tcBorders>
            <w:shd w:val="clear" w:color="auto" w:fill="F2F2F2" w:themeFill="background1" w:themeFillShade="F2"/>
          </w:tcPr>
          <w:p w14:paraId="13F15CA7" w14:textId="77777777" w:rsidR="0036768C" w:rsidRPr="005B3573" w:rsidRDefault="0036768C" w:rsidP="0036768C">
            <w:pPr>
              <w:pStyle w:val="TableTextL"/>
              <w:jc w:val="center"/>
              <w:rPr>
                <w:b/>
              </w:rPr>
            </w:pPr>
          </w:p>
        </w:tc>
        <w:tc>
          <w:tcPr>
            <w:tcW w:w="5893" w:type="dxa"/>
            <w:tcBorders>
              <w:top w:val="single" w:sz="4" w:space="0" w:color="auto"/>
              <w:left w:val="nil"/>
              <w:right w:val="nil"/>
            </w:tcBorders>
            <w:shd w:val="clear" w:color="auto" w:fill="F2F2F2" w:themeFill="background1" w:themeFillShade="F2"/>
          </w:tcPr>
          <w:p w14:paraId="2D7C41B8" w14:textId="77777777" w:rsidR="0036768C" w:rsidRPr="005B3573" w:rsidRDefault="0036768C" w:rsidP="0036768C">
            <w:pPr>
              <w:pStyle w:val="TableTextL"/>
              <w:rPr>
                <w:b/>
              </w:rPr>
            </w:pPr>
          </w:p>
        </w:tc>
        <w:tc>
          <w:tcPr>
            <w:tcW w:w="938" w:type="dxa"/>
            <w:tcBorders>
              <w:top w:val="single" w:sz="4" w:space="0" w:color="auto"/>
              <w:left w:val="nil"/>
            </w:tcBorders>
            <w:shd w:val="clear" w:color="auto" w:fill="F2F2F2" w:themeFill="background1" w:themeFillShade="F2"/>
          </w:tcPr>
          <w:p w14:paraId="12F1FB86" w14:textId="77777777" w:rsidR="0036768C" w:rsidRPr="005B3573" w:rsidRDefault="0036768C" w:rsidP="0036768C">
            <w:pPr>
              <w:pStyle w:val="TableTextL"/>
              <w:jc w:val="center"/>
              <w:rPr>
                <w:b/>
              </w:rPr>
            </w:pPr>
          </w:p>
        </w:tc>
      </w:tr>
      <w:tr w:rsidR="0036768C" w:rsidRPr="005B3573" w14:paraId="5083E839" w14:textId="77777777" w:rsidTr="003060D2">
        <w:trPr>
          <w:jc w:val="center"/>
        </w:trPr>
        <w:tc>
          <w:tcPr>
            <w:tcW w:w="5856" w:type="dxa"/>
            <w:tcBorders>
              <w:bottom w:val="single" w:sz="4" w:space="0" w:color="auto"/>
            </w:tcBorders>
          </w:tcPr>
          <w:p w14:paraId="6852CA67" w14:textId="77777777" w:rsidR="0036768C" w:rsidRPr="00931675" w:rsidRDefault="0036768C" w:rsidP="0036768C">
            <w:pPr>
              <w:pStyle w:val="TableTextL"/>
              <w:rPr>
                <w:b/>
                <w:bCs/>
              </w:rPr>
            </w:pPr>
            <w:r w:rsidRPr="00931675">
              <w:rPr>
                <w:b/>
                <w:bCs/>
              </w:rPr>
              <w:t>Impact LU-1: Cause a Significant Environmental Impact Due to a Conflict with a Land Use Plan, Policy, or Regulation</w:t>
            </w:r>
          </w:p>
          <w:p w14:paraId="4BA5ED6D" w14:textId="50F5F1DD" w:rsidR="0036768C" w:rsidRPr="00931675" w:rsidRDefault="003D3A12" w:rsidP="0036768C">
            <w:pPr>
              <w:pStyle w:val="TableTextL"/>
            </w:pPr>
            <w:r>
              <w:t xml:space="preserve">The proposed CalVTP would implement vegetation treatment on lands owned and managed by various entities, including state agencies, private owners, special districts, non-profit organizations, cities, and counties. </w:t>
            </w:r>
            <w:r w:rsidRPr="00AB5E83">
              <w:t xml:space="preserve">For projects on state lands, </w:t>
            </w:r>
            <w:r>
              <w:t>a</w:t>
            </w:r>
            <w:r w:rsidRPr="00AB5E83">
              <w:t xml:space="preserve"> land management agency would develop the project consistent with </w:t>
            </w:r>
            <w:r>
              <w:t>its</w:t>
            </w:r>
            <w:r w:rsidRPr="00AB5E83">
              <w:t xml:space="preserve"> land management plan</w:t>
            </w:r>
            <w:r>
              <w:t xml:space="preserve">. For projects subject to local plans, policies, or regulations, </w:t>
            </w:r>
            <w:r w:rsidRPr="00FC7AE9">
              <w:t xml:space="preserve">CAL FIRE would </w:t>
            </w:r>
            <w:r w:rsidRPr="00A2788B">
              <w:t>voluntarily seek to operate consistently with local governance to the extent feasible</w:t>
            </w:r>
            <w:r>
              <w:t xml:space="preserve">. In general, all project proponents will design and implement treatments in a manner that is consistent with applicable local plans (e.g., general plans), </w:t>
            </w:r>
            <w:r w:rsidRPr="00D6194B">
              <w:t>policies</w:t>
            </w:r>
            <w:r>
              <w:t xml:space="preserve">, and ordinances to the extent the project is subject to them, as required SPR AD-3. </w:t>
            </w:r>
            <w:r w:rsidRPr="00183DE0">
              <w:rPr>
                <w:u w:val="single"/>
              </w:rPr>
              <w:t xml:space="preserve">Treatment activities that would occur </w:t>
            </w:r>
            <w:r w:rsidRPr="00183DE0">
              <w:rPr>
                <w:u w:val="single"/>
                <w:lang w:val="en"/>
              </w:rPr>
              <w:t xml:space="preserve">within the coastal zone would be required to comply with the California Coastal Act or a certified LCP (as applicable), including obtaining a coastal development permit, when necessary pursuant to the provisions of SPR AD-9. </w:t>
            </w:r>
            <w:r>
              <w:t>Furthermore, t</w:t>
            </w:r>
            <w:r w:rsidRPr="00FC7AE9">
              <w:t xml:space="preserve">he environmental </w:t>
            </w:r>
            <w:r>
              <w:t>impacts</w:t>
            </w:r>
            <w:r w:rsidRPr="00FC7AE9">
              <w:t xml:space="preserve"> of</w:t>
            </w:r>
            <w:r>
              <w:t xml:space="preserve"> the proposed</w:t>
            </w:r>
            <w:r w:rsidRPr="00FC7AE9">
              <w:t xml:space="preserve"> </w:t>
            </w:r>
            <w:r>
              <w:t>CalVTP</w:t>
            </w:r>
            <w:r w:rsidRPr="00FC7AE9">
              <w:t xml:space="preserve"> are addressed </w:t>
            </w:r>
            <w:r>
              <w:t>throughout</w:t>
            </w:r>
            <w:r w:rsidRPr="00FC7AE9">
              <w:t xml:space="preserve"> </w:t>
            </w:r>
            <w:r>
              <w:t>this PEIR and m</w:t>
            </w:r>
            <w:r w:rsidRPr="00FC7AE9">
              <w:t xml:space="preserve">itigation is </w:t>
            </w:r>
            <w:r>
              <w:t>identified</w:t>
            </w:r>
            <w:r w:rsidRPr="00FC7AE9">
              <w:t xml:space="preserve"> to </w:t>
            </w:r>
            <w:r>
              <w:t>reduce</w:t>
            </w:r>
            <w:r w:rsidRPr="00FC7AE9">
              <w:t xml:space="preserve"> significant effects</w:t>
            </w:r>
            <w:r>
              <w:t xml:space="preserve">, thereby avoiding </w:t>
            </w:r>
            <w:r w:rsidRPr="00AB5E83">
              <w:t>a conflict with a land use plan, policy, or regulation</w:t>
            </w:r>
            <w:r>
              <w:t xml:space="preserve"> that was adopted for the purpose of avoiding or mitigating an environmental effect</w:t>
            </w:r>
            <w:r w:rsidRPr="00AB5E83">
              <w:t xml:space="preserve">. This impact would be </w:t>
            </w:r>
            <w:r w:rsidRPr="00AB5E83">
              <w:rPr>
                <w:b/>
              </w:rPr>
              <w:t>less than significant</w:t>
            </w:r>
            <w:r w:rsidRPr="00AB5E83">
              <w:t>.</w:t>
            </w:r>
            <w:r w:rsidR="0036768C" w:rsidRPr="00931675">
              <w:t xml:space="preserve"> </w:t>
            </w:r>
          </w:p>
        </w:tc>
        <w:tc>
          <w:tcPr>
            <w:tcW w:w="993" w:type="dxa"/>
            <w:tcBorders>
              <w:bottom w:val="single" w:sz="4" w:space="0" w:color="auto"/>
            </w:tcBorders>
          </w:tcPr>
          <w:p w14:paraId="37924956" w14:textId="3ED8441B" w:rsidR="0036768C" w:rsidRPr="005B3573" w:rsidRDefault="0036768C" w:rsidP="0036768C">
            <w:pPr>
              <w:pStyle w:val="TableTextL"/>
              <w:jc w:val="center"/>
            </w:pPr>
            <w:r>
              <w:t>LTS</w:t>
            </w:r>
          </w:p>
        </w:tc>
        <w:tc>
          <w:tcPr>
            <w:tcW w:w="5893" w:type="dxa"/>
            <w:tcBorders>
              <w:bottom w:val="single" w:sz="4" w:space="0" w:color="auto"/>
            </w:tcBorders>
          </w:tcPr>
          <w:p w14:paraId="021440D0" w14:textId="32844D3E" w:rsidR="0036768C" w:rsidRPr="005B3573" w:rsidRDefault="0036768C" w:rsidP="0036768C">
            <w:pPr>
              <w:pStyle w:val="TableTextL"/>
            </w:pPr>
            <w:r>
              <w:t>No mitigation is required.</w:t>
            </w:r>
          </w:p>
        </w:tc>
        <w:tc>
          <w:tcPr>
            <w:tcW w:w="938" w:type="dxa"/>
            <w:tcBorders>
              <w:bottom w:val="single" w:sz="4" w:space="0" w:color="auto"/>
            </w:tcBorders>
          </w:tcPr>
          <w:p w14:paraId="5E07137F" w14:textId="7C73F3A6" w:rsidR="0036768C" w:rsidRPr="005B3573" w:rsidRDefault="0036768C" w:rsidP="0036768C">
            <w:pPr>
              <w:pStyle w:val="TableTextL"/>
              <w:jc w:val="center"/>
            </w:pPr>
            <w:r>
              <w:t>LTS</w:t>
            </w:r>
          </w:p>
        </w:tc>
      </w:tr>
      <w:tr w:rsidR="0036768C" w:rsidRPr="005B3573" w14:paraId="2674460D" w14:textId="77777777" w:rsidTr="003060D2">
        <w:trPr>
          <w:jc w:val="center"/>
        </w:trPr>
        <w:tc>
          <w:tcPr>
            <w:tcW w:w="5856" w:type="dxa"/>
            <w:tcBorders>
              <w:bottom w:val="single" w:sz="4" w:space="0" w:color="auto"/>
            </w:tcBorders>
          </w:tcPr>
          <w:p w14:paraId="55B02D26" w14:textId="77777777" w:rsidR="0036768C" w:rsidRPr="00931675" w:rsidRDefault="0036768C" w:rsidP="0036768C">
            <w:pPr>
              <w:pStyle w:val="TableTextL"/>
              <w:rPr>
                <w:b/>
                <w:bCs/>
              </w:rPr>
            </w:pPr>
            <w:r w:rsidRPr="00931675">
              <w:rPr>
                <w:b/>
                <w:bCs/>
              </w:rPr>
              <w:lastRenderedPageBreak/>
              <w:t>Impact LU-2: Induce Substantial Unplanned Population Growth</w:t>
            </w:r>
          </w:p>
          <w:p w14:paraId="1472DC2E" w14:textId="744D7735" w:rsidR="0036768C" w:rsidRPr="00931675" w:rsidRDefault="0036768C" w:rsidP="0036768C">
            <w:pPr>
              <w:pStyle w:val="TableTextL"/>
            </w:pPr>
            <w:r w:rsidRPr="00931675">
              <w:t xml:space="preserve">The increase in the pace and scale of vegetation treatments under the proposed CalVTP would result in additional demand for employees to implement treatments across the state within and near the treatable landscape. Implementation of the proposed CalVTP would result in an average of approximately five additional employees within each CAL FIRE unit (21 units). Other state agencies, such as CSP and CDFW, could also generate demand for some additional employees, although at a lower rate than the employment increase anticipated for CAL FIRE. Other project proponents may employ or contract workers permanently or seasonally to perform treatments. The increase in employee demand would be spread throughout the state and there would not be any specific areas that would experience a substantial increase in demand for vegetation treatment employees. Thus, implementation of the proposed CalVTP would not induce substantial unplanned population growth in any one area to cause a need for new housing, roads, or infrastructure. This impact would be </w:t>
            </w:r>
            <w:r w:rsidRPr="00931675">
              <w:rPr>
                <w:bCs/>
              </w:rPr>
              <w:t xml:space="preserve">less than significant. </w:t>
            </w:r>
          </w:p>
        </w:tc>
        <w:tc>
          <w:tcPr>
            <w:tcW w:w="993" w:type="dxa"/>
            <w:tcBorders>
              <w:bottom w:val="single" w:sz="4" w:space="0" w:color="auto"/>
            </w:tcBorders>
          </w:tcPr>
          <w:p w14:paraId="1575920D" w14:textId="1F8461DB" w:rsidR="0036768C" w:rsidRPr="005B3573" w:rsidRDefault="0036768C" w:rsidP="0036768C">
            <w:pPr>
              <w:pStyle w:val="TableTextL"/>
              <w:jc w:val="center"/>
            </w:pPr>
            <w:r>
              <w:t>LTS</w:t>
            </w:r>
          </w:p>
        </w:tc>
        <w:tc>
          <w:tcPr>
            <w:tcW w:w="5893" w:type="dxa"/>
            <w:tcBorders>
              <w:bottom w:val="single" w:sz="4" w:space="0" w:color="auto"/>
            </w:tcBorders>
          </w:tcPr>
          <w:p w14:paraId="5A70BF2F" w14:textId="18BCC418" w:rsidR="0036768C" w:rsidRPr="005B3573" w:rsidRDefault="0036768C" w:rsidP="0036768C">
            <w:pPr>
              <w:pStyle w:val="TableTextL"/>
            </w:pPr>
            <w:r>
              <w:t>No mitigation is required.</w:t>
            </w:r>
          </w:p>
        </w:tc>
        <w:tc>
          <w:tcPr>
            <w:tcW w:w="938" w:type="dxa"/>
            <w:tcBorders>
              <w:bottom w:val="single" w:sz="4" w:space="0" w:color="auto"/>
            </w:tcBorders>
          </w:tcPr>
          <w:p w14:paraId="32634C56" w14:textId="050406C6" w:rsidR="0036768C" w:rsidRPr="005B3573" w:rsidRDefault="0036768C" w:rsidP="0036768C">
            <w:pPr>
              <w:pStyle w:val="TableTextL"/>
              <w:jc w:val="center"/>
            </w:pPr>
            <w:r>
              <w:t>LTS</w:t>
            </w:r>
          </w:p>
        </w:tc>
      </w:tr>
      <w:tr w:rsidR="0036768C" w:rsidRPr="005B3573" w14:paraId="4F18AEC1" w14:textId="77777777" w:rsidTr="002B7098">
        <w:trPr>
          <w:jc w:val="center"/>
        </w:trPr>
        <w:tc>
          <w:tcPr>
            <w:tcW w:w="5856" w:type="dxa"/>
            <w:tcBorders>
              <w:top w:val="single" w:sz="4" w:space="0" w:color="auto"/>
              <w:right w:val="nil"/>
            </w:tcBorders>
            <w:shd w:val="clear" w:color="auto" w:fill="F2F2F2" w:themeFill="background1" w:themeFillShade="F2"/>
          </w:tcPr>
          <w:p w14:paraId="5639F2B8" w14:textId="1F1E49F9" w:rsidR="0036768C" w:rsidRPr="00931675" w:rsidRDefault="0036768C" w:rsidP="0036768C">
            <w:pPr>
              <w:pStyle w:val="TableTextL"/>
              <w:keepNext/>
              <w:rPr>
                <w:b/>
              </w:rPr>
            </w:pPr>
            <w:r w:rsidRPr="00931675">
              <w:rPr>
                <w:b/>
              </w:rPr>
              <w:t>Noise</w:t>
            </w:r>
          </w:p>
        </w:tc>
        <w:tc>
          <w:tcPr>
            <w:tcW w:w="993" w:type="dxa"/>
            <w:tcBorders>
              <w:top w:val="single" w:sz="4" w:space="0" w:color="auto"/>
              <w:left w:val="nil"/>
              <w:right w:val="nil"/>
            </w:tcBorders>
            <w:shd w:val="clear" w:color="auto" w:fill="F2F2F2" w:themeFill="background1" w:themeFillShade="F2"/>
          </w:tcPr>
          <w:p w14:paraId="08215A48" w14:textId="77777777" w:rsidR="0036768C" w:rsidRPr="005B3573" w:rsidRDefault="0036768C" w:rsidP="0036768C">
            <w:pPr>
              <w:pStyle w:val="TableTextL"/>
              <w:jc w:val="center"/>
              <w:rPr>
                <w:b/>
              </w:rPr>
            </w:pPr>
          </w:p>
        </w:tc>
        <w:tc>
          <w:tcPr>
            <w:tcW w:w="5893" w:type="dxa"/>
            <w:tcBorders>
              <w:top w:val="single" w:sz="4" w:space="0" w:color="auto"/>
              <w:left w:val="nil"/>
              <w:right w:val="nil"/>
            </w:tcBorders>
            <w:shd w:val="clear" w:color="auto" w:fill="F2F2F2" w:themeFill="background1" w:themeFillShade="F2"/>
          </w:tcPr>
          <w:p w14:paraId="0291430B" w14:textId="77777777" w:rsidR="0036768C" w:rsidRPr="005B3573" w:rsidRDefault="0036768C" w:rsidP="0036768C">
            <w:pPr>
              <w:pStyle w:val="TableTextL"/>
              <w:rPr>
                <w:b/>
              </w:rPr>
            </w:pPr>
          </w:p>
        </w:tc>
        <w:tc>
          <w:tcPr>
            <w:tcW w:w="938" w:type="dxa"/>
            <w:tcBorders>
              <w:top w:val="single" w:sz="4" w:space="0" w:color="auto"/>
              <w:left w:val="nil"/>
            </w:tcBorders>
            <w:shd w:val="clear" w:color="auto" w:fill="F2F2F2" w:themeFill="background1" w:themeFillShade="F2"/>
          </w:tcPr>
          <w:p w14:paraId="19C5AA08" w14:textId="77777777" w:rsidR="0036768C" w:rsidRPr="005B3573" w:rsidRDefault="0036768C" w:rsidP="0036768C">
            <w:pPr>
              <w:pStyle w:val="TableTextL"/>
              <w:jc w:val="center"/>
              <w:rPr>
                <w:b/>
              </w:rPr>
            </w:pPr>
          </w:p>
        </w:tc>
      </w:tr>
      <w:tr w:rsidR="0036768C" w:rsidRPr="005B3573" w14:paraId="06021947" w14:textId="77777777" w:rsidTr="002B7098">
        <w:trPr>
          <w:jc w:val="center"/>
        </w:trPr>
        <w:tc>
          <w:tcPr>
            <w:tcW w:w="5856" w:type="dxa"/>
          </w:tcPr>
          <w:p w14:paraId="79444BD7" w14:textId="77777777" w:rsidR="0036768C" w:rsidRPr="00931675" w:rsidRDefault="0036768C" w:rsidP="0036768C">
            <w:pPr>
              <w:pStyle w:val="TableTextL"/>
              <w:rPr>
                <w:b/>
                <w:bCs/>
              </w:rPr>
            </w:pPr>
            <w:r w:rsidRPr="00931675">
              <w:rPr>
                <w:b/>
                <w:bCs/>
              </w:rPr>
              <w:t>Impact NOI-1: Result in a Substantial Short-Term Increase in Exterior Ambient Noise Levels During Treatment Implementation</w:t>
            </w:r>
          </w:p>
          <w:p w14:paraId="00F4F54A" w14:textId="6F3E880E" w:rsidR="0036768C" w:rsidRPr="00931675" w:rsidRDefault="0036768C" w:rsidP="0036768C">
            <w:pPr>
              <w:pStyle w:val="TableTextL"/>
            </w:pPr>
            <w:r w:rsidRPr="00931675">
              <w:t xml:space="preserve">Vegetation treatment activities implemented under the CalVTP would adhere to the SPRs that require consistency with local noise policies and ordinances to the extent the project is subject to them, limit vegetation treatment activities to daytime hours, ensure proper notification of nearby sensitive receptors, and locate treatment activities and staging areas away from sensitive receptors to minimize noise exposure. Additionally, any increase in noise exposure at nearby receptors would be temporary and periodic. Therefore, implementation of the CalVTP would not result in the exposure of noise-sensitive receptors to a substantial temporary increase in ambient noise levels. This impact would be </w:t>
            </w:r>
            <w:r w:rsidRPr="00931675">
              <w:rPr>
                <w:bCs/>
              </w:rPr>
              <w:t xml:space="preserve">less than significant. </w:t>
            </w:r>
          </w:p>
        </w:tc>
        <w:tc>
          <w:tcPr>
            <w:tcW w:w="993" w:type="dxa"/>
          </w:tcPr>
          <w:p w14:paraId="5072BCD2" w14:textId="3252962A" w:rsidR="0036768C" w:rsidRPr="005B3573" w:rsidRDefault="0036768C" w:rsidP="0036768C">
            <w:pPr>
              <w:pStyle w:val="TableTextL"/>
              <w:jc w:val="center"/>
            </w:pPr>
            <w:r>
              <w:t>LTS</w:t>
            </w:r>
          </w:p>
        </w:tc>
        <w:tc>
          <w:tcPr>
            <w:tcW w:w="5893" w:type="dxa"/>
          </w:tcPr>
          <w:p w14:paraId="5CC2B32F" w14:textId="2B83A580" w:rsidR="0036768C" w:rsidRPr="009844CC" w:rsidRDefault="0036768C" w:rsidP="0036768C">
            <w:pPr>
              <w:pStyle w:val="TableTextL"/>
              <w:rPr>
                <w:spacing w:val="-6"/>
              </w:rPr>
            </w:pPr>
            <w:r>
              <w:t>No mitigation is required.</w:t>
            </w:r>
          </w:p>
        </w:tc>
        <w:tc>
          <w:tcPr>
            <w:tcW w:w="938" w:type="dxa"/>
          </w:tcPr>
          <w:p w14:paraId="3460F0C9" w14:textId="329E0664" w:rsidR="0036768C" w:rsidRPr="005B3573" w:rsidRDefault="0036768C" w:rsidP="0036768C">
            <w:pPr>
              <w:pStyle w:val="TableTextL"/>
              <w:jc w:val="center"/>
            </w:pPr>
            <w:r>
              <w:t>LTS</w:t>
            </w:r>
          </w:p>
        </w:tc>
      </w:tr>
      <w:tr w:rsidR="0036768C" w:rsidRPr="005B3573" w14:paraId="33DB68DA" w14:textId="77777777" w:rsidTr="003060D2">
        <w:trPr>
          <w:jc w:val="center"/>
        </w:trPr>
        <w:tc>
          <w:tcPr>
            <w:tcW w:w="5856" w:type="dxa"/>
            <w:tcBorders>
              <w:bottom w:val="single" w:sz="4" w:space="0" w:color="auto"/>
            </w:tcBorders>
          </w:tcPr>
          <w:p w14:paraId="0352331D" w14:textId="77777777" w:rsidR="0036768C" w:rsidRPr="00931675" w:rsidRDefault="0036768C" w:rsidP="0036768C">
            <w:pPr>
              <w:pStyle w:val="TableTextL"/>
              <w:rPr>
                <w:b/>
                <w:bCs/>
              </w:rPr>
            </w:pPr>
            <w:r w:rsidRPr="00931675">
              <w:rPr>
                <w:b/>
                <w:bCs/>
              </w:rPr>
              <w:t>Impact NOI-2: Result in a Substantial Short-Term Increase in Truck-Generated SENL’s During Treatment Activities</w:t>
            </w:r>
          </w:p>
          <w:p w14:paraId="34C5CD6F" w14:textId="7F32D8A8" w:rsidR="0036768C" w:rsidRPr="00931675" w:rsidRDefault="0036768C" w:rsidP="0036768C">
            <w:pPr>
              <w:pStyle w:val="TableTextL"/>
            </w:pPr>
            <w:r w:rsidRPr="00931675">
              <w:t>Because vegetation treatment activities under the CalVTP would be required to adhere to SPR NOI-1, which limits vegetation treatment activities to daytime hours, SENLs generated by</w:t>
            </w:r>
            <w:r w:rsidRPr="00931675" w:rsidDel="00F408D2">
              <w:t xml:space="preserve"> </w:t>
            </w:r>
            <w:r w:rsidRPr="00931675">
              <w:t xml:space="preserve">associated haul truck trips would not have the potential to result in sleep disturbance during noise-sensitive evening and nighttime hours. For </w:t>
            </w:r>
            <w:r w:rsidRPr="00931675">
              <w:lastRenderedPageBreak/>
              <w:t xml:space="preserve">this reason, implementation of the CalVTP would not result in a substantial temporary increase in SENL’s during vegetation treatment activities. This impact would be </w:t>
            </w:r>
            <w:r w:rsidRPr="00931675">
              <w:rPr>
                <w:bCs/>
              </w:rPr>
              <w:t xml:space="preserve">less than significant. </w:t>
            </w:r>
          </w:p>
        </w:tc>
        <w:tc>
          <w:tcPr>
            <w:tcW w:w="993" w:type="dxa"/>
            <w:tcBorders>
              <w:bottom w:val="single" w:sz="4" w:space="0" w:color="auto"/>
            </w:tcBorders>
          </w:tcPr>
          <w:p w14:paraId="2366F085" w14:textId="289AFBE8" w:rsidR="0036768C" w:rsidRPr="005B3573" w:rsidRDefault="0036768C" w:rsidP="0036768C">
            <w:pPr>
              <w:pStyle w:val="TableTextL"/>
              <w:jc w:val="center"/>
            </w:pPr>
            <w:r>
              <w:lastRenderedPageBreak/>
              <w:t>LTS</w:t>
            </w:r>
          </w:p>
        </w:tc>
        <w:tc>
          <w:tcPr>
            <w:tcW w:w="5893" w:type="dxa"/>
            <w:tcBorders>
              <w:bottom w:val="single" w:sz="4" w:space="0" w:color="auto"/>
            </w:tcBorders>
          </w:tcPr>
          <w:p w14:paraId="3F25E5F3" w14:textId="1DC1BC18" w:rsidR="0036768C" w:rsidRPr="005B3573" w:rsidRDefault="0036768C" w:rsidP="0036768C">
            <w:pPr>
              <w:pStyle w:val="TableTextL"/>
            </w:pPr>
            <w:r>
              <w:t>No mitigation is required.</w:t>
            </w:r>
          </w:p>
        </w:tc>
        <w:tc>
          <w:tcPr>
            <w:tcW w:w="938" w:type="dxa"/>
            <w:tcBorders>
              <w:bottom w:val="single" w:sz="4" w:space="0" w:color="auto"/>
            </w:tcBorders>
          </w:tcPr>
          <w:p w14:paraId="2BF367A1" w14:textId="48F22952" w:rsidR="0036768C" w:rsidRPr="005B3573" w:rsidRDefault="0036768C" w:rsidP="0036768C">
            <w:pPr>
              <w:pStyle w:val="TableTextL"/>
              <w:jc w:val="center"/>
            </w:pPr>
            <w:r>
              <w:t>LTS</w:t>
            </w:r>
          </w:p>
        </w:tc>
      </w:tr>
      <w:tr w:rsidR="0036768C" w:rsidRPr="005B3573" w14:paraId="00B8F722" w14:textId="77777777" w:rsidTr="002B7098">
        <w:trPr>
          <w:jc w:val="center"/>
        </w:trPr>
        <w:tc>
          <w:tcPr>
            <w:tcW w:w="5856" w:type="dxa"/>
            <w:tcBorders>
              <w:top w:val="single" w:sz="4" w:space="0" w:color="auto"/>
              <w:right w:val="nil"/>
            </w:tcBorders>
            <w:shd w:val="clear" w:color="auto" w:fill="F2F2F2" w:themeFill="background1" w:themeFillShade="F2"/>
          </w:tcPr>
          <w:p w14:paraId="2416F906" w14:textId="19F06BFE" w:rsidR="0036768C" w:rsidRPr="00931675" w:rsidRDefault="0036768C" w:rsidP="0036768C">
            <w:pPr>
              <w:pStyle w:val="TableTextL"/>
              <w:keepNext/>
              <w:rPr>
                <w:b/>
              </w:rPr>
            </w:pPr>
            <w:r w:rsidRPr="00931675">
              <w:rPr>
                <w:b/>
              </w:rPr>
              <w:t>Recreation</w:t>
            </w:r>
          </w:p>
        </w:tc>
        <w:tc>
          <w:tcPr>
            <w:tcW w:w="993" w:type="dxa"/>
            <w:tcBorders>
              <w:top w:val="single" w:sz="4" w:space="0" w:color="auto"/>
              <w:left w:val="nil"/>
              <w:right w:val="nil"/>
            </w:tcBorders>
            <w:shd w:val="clear" w:color="auto" w:fill="F2F2F2" w:themeFill="background1" w:themeFillShade="F2"/>
          </w:tcPr>
          <w:p w14:paraId="205C1567" w14:textId="77777777" w:rsidR="0036768C" w:rsidRPr="005B3573" w:rsidRDefault="0036768C" w:rsidP="0036768C">
            <w:pPr>
              <w:pStyle w:val="TableTextL"/>
              <w:jc w:val="center"/>
              <w:rPr>
                <w:b/>
              </w:rPr>
            </w:pPr>
          </w:p>
        </w:tc>
        <w:tc>
          <w:tcPr>
            <w:tcW w:w="5893" w:type="dxa"/>
            <w:tcBorders>
              <w:top w:val="single" w:sz="4" w:space="0" w:color="auto"/>
              <w:left w:val="nil"/>
              <w:right w:val="nil"/>
            </w:tcBorders>
            <w:shd w:val="clear" w:color="auto" w:fill="F2F2F2" w:themeFill="background1" w:themeFillShade="F2"/>
          </w:tcPr>
          <w:p w14:paraId="07ADC911" w14:textId="77777777" w:rsidR="0036768C" w:rsidRPr="005B3573" w:rsidRDefault="0036768C" w:rsidP="0036768C">
            <w:pPr>
              <w:pStyle w:val="TableTextL"/>
              <w:rPr>
                <w:b/>
              </w:rPr>
            </w:pPr>
          </w:p>
        </w:tc>
        <w:tc>
          <w:tcPr>
            <w:tcW w:w="938" w:type="dxa"/>
            <w:tcBorders>
              <w:top w:val="single" w:sz="4" w:space="0" w:color="auto"/>
              <w:left w:val="nil"/>
            </w:tcBorders>
            <w:shd w:val="clear" w:color="auto" w:fill="F2F2F2" w:themeFill="background1" w:themeFillShade="F2"/>
          </w:tcPr>
          <w:p w14:paraId="310750F1" w14:textId="77777777" w:rsidR="0036768C" w:rsidRPr="005B3573" w:rsidRDefault="0036768C" w:rsidP="0036768C">
            <w:pPr>
              <w:pStyle w:val="TableTextL"/>
              <w:jc w:val="center"/>
              <w:rPr>
                <w:b/>
              </w:rPr>
            </w:pPr>
          </w:p>
        </w:tc>
      </w:tr>
      <w:tr w:rsidR="0036768C" w:rsidRPr="005B3573" w14:paraId="35E8AD6B" w14:textId="77777777" w:rsidTr="002B7098">
        <w:trPr>
          <w:jc w:val="center"/>
        </w:trPr>
        <w:tc>
          <w:tcPr>
            <w:tcW w:w="5856" w:type="dxa"/>
          </w:tcPr>
          <w:p w14:paraId="3E14EACA" w14:textId="77777777" w:rsidR="0036768C" w:rsidRPr="00931675" w:rsidRDefault="0036768C" w:rsidP="0036768C">
            <w:pPr>
              <w:pStyle w:val="TableTextL"/>
              <w:rPr>
                <w:b/>
                <w:bCs/>
              </w:rPr>
            </w:pPr>
            <w:r w:rsidRPr="00931675">
              <w:rPr>
                <w:b/>
                <w:bCs/>
              </w:rPr>
              <w:t xml:space="preserve">Impact REC-1: Directly or Indirectly Disrupt Recreational Activities within Designated Recreation Areas </w:t>
            </w:r>
          </w:p>
          <w:p w14:paraId="7F7C6C1D" w14:textId="0F8B12E5" w:rsidR="0036768C" w:rsidRPr="00931675" w:rsidRDefault="0036768C" w:rsidP="0036768C">
            <w:pPr>
              <w:pStyle w:val="TableTextL"/>
            </w:pPr>
            <w:r w:rsidRPr="00931675">
              <w:t xml:space="preserve">Implementation of treatment activities within the treatable landscape could result in potential conflicts with recreationists and recreation areas. Conflicts include access restrictions or nuisance impacts during treatment activities including degradation of views, dust emissions, and increased traffic that disrupt the recreational experience. Implementation of SPRs would avoid and minimize disruptions to recreation. This impact would be </w:t>
            </w:r>
            <w:r w:rsidRPr="00931675">
              <w:rPr>
                <w:bCs/>
              </w:rPr>
              <w:t>less than significant.</w:t>
            </w:r>
          </w:p>
        </w:tc>
        <w:tc>
          <w:tcPr>
            <w:tcW w:w="993" w:type="dxa"/>
          </w:tcPr>
          <w:p w14:paraId="634C9004" w14:textId="4181422B" w:rsidR="0036768C" w:rsidRPr="005B3573" w:rsidRDefault="0036768C" w:rsidP="0036768C">
            <w:pPr>
              <w:pStyle w:val="TableTextL"/>
              <w:jc w:val="center"/>
            </w:pPr>
            <w:r>
              <w:t>LTS</w:t>
            </w:r>
          </w:p>
        </w:tc>
        <w:tc>
          <w:tcPr>
            <w:tcW w:w="5893" w:type="dxa"/>
          </w:tcPr>
          <w:p w14:paraId="75BEBC0E" w14:textId="67BEB9F1" w:rsidR="0036768C" w:rsidRPr="009844CC" w:rsidRDefault="0036768C" w:rsidP="0036768C">
            <w:pPr>
              <w:pStyle w:val="TableTextL"/>
              <w:rPr>
                <w:spacing w:val="-6"/>
              </w:rPr>
            </w:pPr>
            <w:r>
              <w:t>No mitigation is required.</w:t>
            </w:r>
          </w:p>
        </w:tc>
        <w:tc>
          <w:tcPr>
            <w:tcW w:w="938" w:type="dxa"/>
          </w:tcPr>
          <w:p w14:paraId="31416C68" w14:textId="767CCF0C" w:rsidR="0036768C" w:rsidRPr="005B3573" w:rsidRDefault="0036768C" w:rsidP="0036768C">
            <w:pPr>
              <w:pStyle w:val="TableTextL"/>
              <w:jc w:val="center"/>
            </w:pPr>
            <w:r>
              <w:t>LTS</w:t>
            </w:r>
          </w:p>
        </w:tc>
      </w:tr>
      <w:tr w:rsidR="0036768C" w:rsidRPr="005B3573" w14:paraId="69902CC8" w14:textId="77777777" w:rsidTr="002B7098">
        <w:trPr>
          <w:jc w:val="center"/>
        </w:trPr>
        <w:tc>
          <w:tcPr>
            <w:tcW w:w="5856" w:type="dxa"/>
            <w:tcBorders>
              <w:top w:val="single" w:sz="4" w:space="0" w:color="auto"/>
              <w:right w:val="nil"/>
            </w:tcBorders>
            <w:shd w:val="clear" w:color="auto" w:fill="F2F2F2" w:themeFill="background1" w:themeFillShade="F2"/>
          </w:tcPr>
          <w:p w14:paraId="1414EEC0" w14:textId="368AA875" w:rsidR="0036768C" w:rsidRPr="005B3573" w:rsidRDefault="0036768C" w:rsidP="0036768C">
            <w:pPr>
              <w:pStyle w:val="TableTextL"/>
              <w:keepNext/>
              <w:rPr>
                <w:b/>
              </w:rPr>
            </w:pPr>
            <w:r>
              <w:rPr>
                <w:b/>
              </w:rPr>
              <w:t>Transportation</w:t>
            </w:r>
          </w:p>
        </w:tc>
        <w:tc>
          <w:tcPr>
            <w:tcW w:w="993" w:type="dxa"/>
            <w:tcBorders>
              <w:top w:val="single" w:sz="4" w:space="0" w:color="auto"/>
              <w:left w:val="nil"/>
              <w:right w:val="nil"/>
            </w:tcBorders>
            <w:shd w:val="clear" w:color="auto" w:fill="F2F2F2" w:themeFill="background1" w:themeFillShade="F2"/>
          </w:tcPr>
          <w:p w14:paraId="02180628" w14:textId="77777777" w:rsidR="0036768C" w:rsidRPr="005B3573" w:rsidRDefault="0036768C" w:rsidP="0036768C">
            <w:pPr>
              <w:pStyle w:val="TableTextL"/>
              <w:jc w:val="center"/>
              <w:rPr>
                <w:b/>
              </w:rPr>
            </w:pPr>
          </w:p>
        </w:tc>
        <w:tc>
          <w:tcPr>
            <w:tcW w:w="5893" w:type="dxa"/>
            <w:tcBorders>
              <w:top w:val="single" w:sz="4" w:space="0" w:color="auto"/>
              <w:left w:val="nil"/>
              <w:right w:val="nil"/>
            </w:tcBorders>
            <w:shd w:val="clear" w:color="auto" w:fill="F2F2F2" w:themeFill="background1" w:themeFillShade="F2"/>
          </w:tcPr>
          <w:p w14:paraId="6EB0EE2A" w14:textId="77777777" w:rsidR="0036768C" w:rsidRPr="005B3573" w:rsidRDefault="0036768C" w:rsidP="0036768C">
            <w:pPr>
              <w:pStyle w:val="TableTextL"/>
              <w:rPr>
                <w:b/>
              </w:rPr>
            </w:pPr>
          </w:p>
        </w:tc>
        <w:tc>
          <w:tcPr>
            <w:tcW w:w="938" w:type="dxa"/>
            <w:tcBorders>
              <w:top w:val="single" w:sz="4" w:space="0" w:color="auto"/>
              <w:left w:val="nil"/>
            </w:tcBorders>
            <w:shd w:val="clear" w:color="auto" w:fill="F2F2F2" w:themeFill="background1" w:themeFillShade="F2"/>
          </w:tcPr>
          <w:p w14:paraId="14ADC5F6" w14:textId="77777777" w:rsidR="0036768C" w:rsidRPr="005B3573" w:rsidRDefault="0036768C" w:rsidP="0036768C">
            <w:pPr>
              <w:pStyle w:val="TableTextL"/>
              <w:jc w:val="center"/>
              <w:rPr>
                <w:b/>
              </w:rPr>
            </w:pPr>
          </w:p>
        </w:tc>
      </w:tr>
      <w:tr w:rsidR="0036768C" w:rsidRPr="005B3573" w14:paraId="38E7614B" w14:textId="77777777" w:rsidTr="003060D2">
        <w:trPr>
          <w:jc w:val="center"/>
        </w:trPr>
        <w:tc>
          <w:tcPr>
            <w:tcW w:w="5856" w:type="dxa"/>
          </w:tcPr>
          <w:p w14:paraId="551BA22C" w14:textId="77777777" w:rsidR="0036768C" w:rsidRPr="00D012DB" w:rsidRDefault="0036768C" w:rsidP="0036768C">
            <w:pPr>
              <w:pStyle w:val="TableTextL"/>
              <w:rPr>
                <w:b/>
                <w:bCs/>
              </w:rPr>
            </w:pPr>
            <w:r w:rsidRPr="00D012DB">
              <w:rPr>
                <w:b/>
                <w:bCs/>
              </w:rPr>
              <w:t>Impact TRAN-1: Result in Temporary Traffic Operations Impacts by Conflicting with a Program, Plan, Ordinance, or Policy Addressing Roadway Facilities or Prolonged Road Closures</w:t>
            </w:r>
          </w:p>
          <w:p w14:paraId="2FD4485D" w14:textId="66C487FB" w:rsidR="0036768C" w:rsidRPr="00134AF7" w:rsidRDefault="0036768C" w:rsidP="0036768C">
            <w:pPr>
              <w:pStyle w:val="TableTextL"/>
              <w:rPr>
                <w:spacing w:val="-2"/>
              </w:rPr>
            </w:pPr>
            <w:r w:rsidRPr="00134AF7">
              <w:rPr>
                <w:spacing w:val="-2"/>
              </w:rPr>
              <w:t>Vegetation treatments implemented under the CalVTP would adhere to the SPRs that require consistency with local traffic operations policies and standards to the extent the project is subject to them, and would require that a TMP be prepared to manage and minimize potential temporary traffic operations effects resulting from individual vegetation treatment projects. Additionally, effects related to traffic operations during vegetation treatments under the CalVTP would be localized and temporary. Therefore, temporary traffic operations impacts would be</w:t>
            </w:r>
            <w:r w:rsidRPr="00134AF7">
              <w:rPr>
                <w:bCs/>
                <w:spacing w:val="-2"/>
              </w:rPr>
              <w:t xml:space="preserve"> less than significant.</w:t>
            </w:r>
          </w:p>
        </w:tc>
        <w:tc>
          <w:tcPr>
            <w:tcW w:w="993" w:type="dxa"/>
          </w:tcPr>
          <w:p w14:paraId="7DE8D91F" w14:textId="5CBA5BF9" w:rsidR="0036768C" w:rsidRPr="005B3573" w:rsidRDefault="0036768C" w:rsidP="0036768C">
            <w:pPr>
              <w:pStyle w:val="TableTextL"/>
              <w:jc w:val="center"/>
            </w:pPr>
            <w:r>
              <w:t>LTS</w:t>
            </w:r>
          </w:p>
        </w:tc>
        <w:tc>
          <w:tcPr>
            <w:tcW w:w="5893" w:type="dxa"/>
          </w:tcPr>
          <w:p w14:paraId="68DE6316" w14:textId="37642667" w:rsidR="0036768C" w:rsidRPr="005B3573" w:rsidRDefault="0036768C" w:rsidP="0036768C">
            <w:pPr>
              <w:pStyle w:val="TableTextL"/>
            </w:pPr>
            <w:r>
              <w:t>No mitigation is required.</w:t>
            </w:r>
          </w:p>
        </w:tc>
        <w:tc>
          <w:tcPr>
            <w:tcW w:w="938" w:type="dxa"/>
          </w:tcPr>
          <w:p w14:paraId="368C2154" w14:textId="6700E6D0" w:rsidR="0036768C" w:rsidRPr="005B3573" w:rsidRDefault="0036768C" w:rsidP="0036768C">
            <w:pPr>
              <w:pStyle w:val="TableTextL"/>
              <w:jc w:val="center"/>
            </w:pPr>
            <w:r>
              <w:t>LTS</w:t>
            </w:r>
          </w:p>
        </w:tc>
      </w:tr>
      <w:tr w:rsidR="0036768C" w:rsidRPr="005B3573" w14:paraId="6674F250" w14:textId="77777777" w:rsidTr="003060D2">
        <w:trPr>
          <w:jc w:val="center"/>
        </w:trPr>
        <w:tc>
          <w:tcPr>
            <w:tcW w:w="5856" w:type="dxa"/>
          </w:tcPr>
          <w:p w14:paraId="38E92B5C" w14:textId="77777777" w:rsidR="0036768C" w:rsidRPr="00D012DB" w:rsidRDefault="0036768C" w:rsidP="0036768C">
            <w:pPr>
              <w:pStyle w:val="TableTextL"/>
              <w:rPr>
                <w:b/>
                <w:bCs/>
              </w:rPr>
            </w:pPr>
            <w:r w:rsidRPr="00D012DB">
              <w:rPr>
                <w:b/>
                <w:bCs/>
              </w:rPr>
              <w:t>Impact TRAN-2: Substantially Increase Hazards due to a Design Feature or Incompatible Uses</w:t>
            </w:r>
          </w:p>
          <w:p w14:paraId="1F8C428E" w14:textId="06E06F19" w:rsidR="0036768C" w:rsidRPr="00134AF7" w:rsidRDefault="0036768C" w:rsidP="0036768C">
            <w:pPr>
              <w:pStyle w:val="TableTextL"/>
              <w:rPr>
                <w:spacing w:val="-3"/>
              </w:rPr>
            </w:pPr>
            <w:r w:rsidRPr="00134AF7">
              <w:rPr>
                <w:spacing w:val="-3"/>
              </w:rPr>
              <w:t>Implementation of the CalVTP would not require the construction or alteration of any roadways, and qualifying vegetation treatment projects under the CalVTP would adhere to SPRs that manage and minimize potential hazards due to smoke generated during prescribe burns. The project proponent would prepare and implement a TMP to avoid and minimize temporary transportation impacts. Therefore, vegetation treatment activities would not substantially increase hazards due to a design feature or incompatible uses. This impact would be less than significant.</w:t>
            </w:r>
          </w:p>
        </w:tc>
        <w:tc>
          <w:tcPr>
            <w:tcW w:w="993" w:type="dxa"/>
          </w:tcPr>
          <w:p w14:paraId="62E1FFED" w14:textId="4AF564BE" w:rsidR="0036768C" w:rsidRPr="005B3573" w:rsidRDefault="0036768C" w:rsidP="0036768C">
            <w:pPr>
              <w:pStyle w:val="TableTextL"/>
              <w:jc w:val="center"/>
            </w:pPr>
            <w:r>
              <w:t>LTS</w:t>
            </w:r>
          </w:p>
        </w:tc>
        <w:tc>
          <w:tcPr>
            <w:tcW w:w="5893" w:type="dxa"/>
          </w:tcPr>
          <w:p w14:paraId="132405BC" w14:textId="3AEAF455" w:rsidR="0036768C" w:rsidRPr="005B3573" w:rsidRDefault="0036768C" w:rsidP="0036768C">
            <w:pPr>
              <w:pStyle w:val="TableTextL"/>
            </w:pPr>
            <w:r>
              <w:t>No mitigation is required.</w:t>
            </w:r>
          </w:p>
        </w:tc>
        <w:tc>
          <w:tcPr>
            <w:tcW w:w="938" w:type="dxa"/>
          </w:tcPr>
          <w:p w14:paraId="67FCC095" w14:textId="0773E94B" w:rsidR="0036768C" w:rsidRPr="005B3573" w:rsidRDefault="0036768C" w:rsidP="0036768C">
            <w:pPr>
              <w:pStyle w:val="TableTextL"/>
              <w:jc w:val="center"/>
            </w:pPr>
            <w:r>
              <w:t>LTS</w:t>
            </w:r>
          </w:p>
        </w:tc>
      </w:tr>
      <w:tr w:rsidR="0036768C" w:rsidRPr="005B3573" w14:paraId="341F4BEA" w14:textId="77777777" w:rsidTr="003060D2">
        <w:trPr>
          <w:jc w:val="center"/>
        </w:trPr>
        <w:tc>
          <w:tcPr>
            <w:tcW w:w="5856" w:type="dxa"/>
            <w:tcBorders>
              <w:bottom w:val="single" w:sz="4" w:space="0" w:color="auto"/>
            </w:tcBorders>
          </w:tcPr>
          <w:p w14:paraId="45DA1198" w14:textId="77777777" w:rsidR="0036768C" w:rsidRPr="00D012DB" w:rsidRDefault="0036768C" w:rsidP="00183DE0">
            <w:pPr>
              <w:pStyle w:val="TableTextL"/>
              <w:keepNext/>
              <w:rPr>
                <w:b/>
                <w:bCs/>
              </w:rPr>
            </w:pPr>
            <w:r w:rsidRPr="00D012DB">
              <w:rPr>
                <w:b/>
                <w:bCs/>
              </w:rPr>
              <w:lastRenderedPageBreak/>
              <w:t>Impact TRAN-3: Result In a Net Increase in VMT for the Proposed CalVTP</w:t>
            </w:r>
          </w:p>
          <w:p w14:paraId="2F80CD44" w14:textId="58AAD647" w:rsidR="0036768C" w:rsidRPr="00AA740B" w:rsidRDefault="0036768C" w:rsidP="00183DE0">
            <w:pPr>
              <w:pStyle w:val="TableTextL"/>
              <w:keepNext/>
              <w:rPr>
                <w:spacing w:val="-2"/>
              </w:rPr>
            </w:pPr>
            <w:r w:rsidRPr="00AA740B">
              <w:rPr>
                <w:spacing w:val="-2"/>
              </w:rPr>
              <w:t xml:space="preserve">Under the proposed CalVTP, the scale of treatment activities would substantially increase to achieve the annual treatment target of approximately 250,000 acres. With the increase in treatment acreage, the VMT generated by treatment activities in comparison to existing conditions would also increase because many more individual treatment projects would be implemented. A key goal of the CalVTP is to decrease the occurrence and severity of wildfires. Reduced occurrence and severity of wildfires would result in a reduction in response activity and trips, which would be reasonably expected to decrease in VMT over the long term, compared to conditions without the CalVTP. However, it is not feasible to predicting changes in wildfire occurrence and severity sufficiently to quantify potential changes in fire response VMT. Thus, to meet CEQA’s mandate of good faith disclosure and to not risk understating potential future impacts in light of the uncertainties, this PEIR classifies this impact as </w:t>
            </w:r>
            <w:r w:rsidRPr="00AA740B">
              <w:rPr>
                <w:bCs/>
                <w:spacing w:val="-2"/>
              </w:rPr>
              <w:t xml:space="preserve">potentially significant, </w:t>
            </w:r>
            <w:r w:rsidRPr="00AA740B">
              <w:rPr>
                <w:spacing w:val="-2"/>
              </w:rPr>
              <w:t>because VMT generated by vegetation treatments under the CalVTP would increase in comparison to existing conditions, notwithstanding the potential VMT-reducing effects of reduced wildfire response.</w:t>
            </w:r>
          </w:p>
        </w:tc>
        <w:tc>
          <w:tcPr>
            <w:tcW w:w="993" w:type="dxa"/>
            <w:tcBorders>
              <w:bottom w:val="single" w:sz="4" w:space="0" w:color="auto"/>
            </w:tcBorders>
          </w:tcPr>
          <w:p w14:paraId="7B4F7A3F" w14:textId="5BD953CB" w:rsidR="0036768C" w:rsidRPr="005B3573" w:rsidRDefault="0036768C" w:rsidP="00183DE0">
            <w:pPr>
              <w:pStyle w:val="TableTextL"/>
              <w:keepNext/>
              <w:jc w:val="center"/>
            </w:pPr>
            <w:r>
              <w:t>PS</w:t>
            </w:r>
          </w:p>
        </w:tc>
        <w:tc>
          <w:tcPr>
            <w:tcW w:w="5893" w:type="dxa"/>
            <w:tcBorders>
              <w:bottom w:val="single" w:sz="4" w:space="0" w:color="auto"/>
            </w:tcBorders>
          </w:tcPr>
          <w:p w14:paraId="3311CD35" w14:textId="35C66F50" w:rsidR="0036768C" w:rsidRPr="005B3573" w:rsidRDefault="00462E42" w:rsidP="00183DE0">
            <w:pPr>
              <w:pStyle w:val="TableTextL"/>
              <w:keepNext/>
              <w:rPr>
                <w:spacing w:val="-6"/>
              </w:rPr>
            </w:pPr>
            <w:r>
              <w:t>Additional measures are not feasible</w:t>
            </w:r>
            <w:r w:rsidR="0036768C">
              <w:t>.</w:t>
            </w:r>
            <w:r w:rsidR="0036768C" w:rsidRPr="00393CF0">
              <w:t xml:space="preserve"> </w:t>
            </w:r>
          </w:p>
        </w:tc>
        <w:tc>
          <w:tcPr>
            <w:tcW w:w="938" w:type="dxa"/>
            <w:tcBorders>
              <w:bottom w:val="single" w:sz="4" w:space="0" w:color="auto"/>
            </w:tcBorders>
          </w:tcPr>
          <w:p w14:paraId="4CFA29B8" w14:textId="22EDE5E3" w:rsidR="0036768C" w:rsidRPr="005B3573" w:rsidRDefault="0036768C" w:rsidP="00183DE0">
            <w:pPr>
              <w:pStyle w:val="TableTextL"/>
              <w:keepNext/>
              <w:jc w:val="center"/>
            </w:pPr>
            <w:r>
              <w:t>SU</w:t>
            </w:r>
          </w:p>
        </w:tc>
      </w:tr>
      <w:tr w:rsidR="0036768C" w:rsidRPr="005B3573" w14:paraId="18DDB648" w14:textId="77777777" w:rsidTr="002B7098">
        <w:trPr>
          <w:jc w:val="center"/>
        </w:trPr>
        <w:tc>
          <w:tcPr>
            <w:tcW w:w="5856" w:type="dxa"/>
            <w:tcBorders>
              <w:top w:val="single" w:sz="4" w:space="0" w:color="auto"/>
              <w:right w:val="nil"/>
            </w:tcBorders>
            <w:shd w:val="clear" w:color="auto" w:fill="F2F2F2" w:themeFill="background1" w:themeFillShade="F2"/>
          </w:tcPr>
          <w:p w14:paraId="338D16F4" w14:textId="2AF4A4ED" w:rsidR="0036768C" w:rsidRPr="005B3573" w:rsidRDefault="0036768C" w:rsidP="0036768C">
            <w:pPr>
              <w:pStyle w:val="TableTextL"/>
              <w:keepNext/>
              <w:rPr>
                <w:b/>
              </w:rPr>
            </w:pPr>
            <w:r>
              <w:rPr>
                <w:b/>
              </w:rPr>
              <w:t xml:space="preserve">Public Services, </w:t>
            </w:r>
            <w:r w:rsidRPr="0083104A">
              <w:rPr>
                <w:b/>
              </w:rPr>
              <w:t>Utilities</w:t>
            </w:r>
            <w:r>
              <w:rPr>
                <w:b/>
              </w:rPr>
              <w:t>,</w:t>
            </w:r>
            <w:r w:rsidRPr="0083104A">
              <w:rPr>
                <w:b/>
              </w:rPr>
              <w:t xml:space="preserve"> and Service Systems</w:t>
            </w:r>
          </w:p>
        </w:tc>
        <w:tc>
          <w:tcPr>
            <w:tcW w:w="993" w:type="dxa"/>
            <w:tcBorders>
              <w:top w:val="single" w:sz="4" w:space="0" w:color="auto"/>
              <w:left w:val="nil"/>
              <w:right w:val="nil"/>
            </w:tcBorders>
            <w:shd w:val="clear" w:color="auto" w:fill="F2F2F2" w:themeFill="background1" w:themeFillShade="F2"/>
          </w:tcPr>
          <w:p w14:paraId="46B65FB7" w14:textId="77777777" w:rsidR="0036768C" w:rsidRPr="005B3573" w:rsidRDefault="0036768C" w:rsidP="0036768C">
            <w:pPr>
              <w:pStyle w:val="TableTextL"/>
              <w:jc w:val="center"/>
              <w:rPr>
                <w:b/>
              </w:rPr>
            </w:pPr>
          </w:p>
        </w:tc>
        <w:tc>
          <w:tcPr>
            <w:tcW w:w="5893" w:type="dxa"/>
            <w:tcBorders>
              <w:top w:val="single" w:sz="4" w:space="0" w:color="auto"/>
              <w:left w:val="nil"/>
              <w:right w:val="nil"/>
            </w:tcBorders>
            <w:shd w:val="clear" w:color="auto" w:fill="F2F2F2" w:themeFill="background1" w:themeFillShade="F2"/>
          </w:tcPr>
          <w:p w14:paraId="5D82B77C" w14:textId="77777777" w:rsidR="0036768C" w:rsidRPr="005B3573" w:rsidRDefault="0036768C" w:rsidP="0036768C">
            <w:pPr>
              <w:pStyle w:val="TableTextL"/>
              <w:rPr>
                <w:b/>
              </w:rPr>
            </w:pPr>
          </w:p>
        </w:tc>
        <w:tc>
          <w:tcPr>
            <w:tcW w:w="938" w:type="dxa"/>
            <w:tcBorders>
              <w:top w:val="single" w:sz="4" w:space="0" w:color="auto"/>
              <w:left w:val="nil"/>
            </w:tcBorders>
            <w:shd w:val="clear" w:color="auto" w:fill="F2F2F2" w:themeFill="background1" w:themeFillShade="F2"/>
          </w:tcPr>
          <w:p w14:paraId="7AC5FF3D" w14:textId="77777777" w:rsidR="0036768C" w:rsidRPr="005B3573" w:rsidRDefault="0036768C" w:rsidP="0036768C">
            <w:pPr>
              <w:pStyle w:val="TableTextL"/>
              <w:jc w:val="center"/>
              <w:rPr>
                <w:b/>
              </w:rPr>
            </w:pPr>
          </w:p>
        </w:tc>
      </w:tr>
      <w:tr w:rsidR="0036768C" w:rsidRPr="005B3573" w14:paraId="12F999E9" w14:textId="77777777" w:rsidTr="002B7098">
        <w:trPr>
          <w:jc w:val="center"/>
        </w:trPr>
        <w:tc>
          <w:tcPr>
            <w:tcW w:w="5856" w:type="dxa"/>
            <w:tcBorders>
              <w:bottom w:val="single" w:sz="4" w:space="0" w:color="auto"/>
            </w:tcBorders>
          </w:tcPr>
          <w:p w14:paraId="58B38AF8" w14:textId="77777777" w:rsidR="0036768C" w:rsidRPr="00931675" w:rsidRDefault="0036768C" w:rsidP="0036768C">
            <w:pPr>
              <w:pStyle w:val="TableTextL"/>
              <w:rPr>
                <w:b/>
                <w:bCs/>
              </w:rPr>
            </w:pPr>
            <w:r w:rsidRPr="00931675">
              <w:rPr>
                <w:b/>
                <w:bCs/>
              </w:rPr>
              <w:t>Impact UTIL-1: Result in Physical Impacts Associated with Provision of Sufficient Water Supplies, Including Related Infrastructure Needs</w:t>
            </w:r>
          </w:p>
          <w:p w14:paraId="70D54EB1" w14:textId="7AE72960" w:rsidR="0036768C" w:rsidRPr="005B3573" w:rsidRDefault="0036768C" w:rsidP="0036768C">
            <w:pPr>
              <w:pStyle w:val="TableTextL"/>
            </w:pPr>
            <w:r>
              <w:t>Implementation of treatment activities within the treatable landscape would require on-site water supplies for fire suppression during prescribed burning activities and for dust control during vegetation removal within non-shaded fuel breaks. Water needed to implement treatments would be minimal. Also, treatment activities would occur over a large geographic area which would disperse pressure on local water providers. Therefore, the increase in demand for water attributable to implementation of the CalVTP would be negligible and would not discernably affect the availability of water supply. This impact would be less than significant.</w:t>
            </w:r>
          </w:p>
        </w:tc>
        <w:tc>
          <w:tcPr>
            <w:tcW w:w="993" w:type="dxa"/>
            <w:tcBorders>
              <w:bottom w:val="single" w:sz="4" w:space="0" w:color="auto"/>
            </w:tcBorders>
          </w:tcPr>
          <w:p w14:paraId="4238C414" w14:textId="18989505" w:rsidR="0036768C" w:rsidRPr="005B3573" w:rsidRDefault="0036768C" w:rsidP="0036768C">
            <w:pPr>
              <w:pStyle w:val="TableTextL"/>
              <w:jc w:val="center"/>
            </w:pPr>
            <w:r>
              <w:t>LTS</w:t>
            </w:r>
          </w:p>
        </w:tc>
        <w:tc>
          <w:tcPr>
            <w:tcW w:w="5893" w:type="dxa"/>
            <w:tcBorders>
              <w:bottom w:val="single" w:sz="4" w:space="0" w:color="auto"/>
            </w:tcBorders>
          </w:tcPr>
          <w:p w14:paraId="16C6FCC6" w14:textId="3099A261" w:rsidR="0036768C" w:rsidRPr="005B3573" w:rsidRDefault="0036768C" w:rsidP="0036768C">
            <w:pPr>
              <w:pStyle w:val="TableTextL"/>
            </w:pPr>
            <w:r>
              <w:t>No mitigation is required.</w:t>
            </w:r>
          </w:p>
        </w:tc>
        <w:tc>
          <w:tcPr>
            <w:tcW w:w="938" w:type="dxa"/>
            <w:tcBorders>
              <w:bottom w:val="single" w:sz="4" w:space="0" w:color="auto"/>
            </w:tcBorders>
          </w:tcPr>
          <w:p w14:paraId="6ADBF2AC" w14:textId="10F73A9C" w:rsidR="0036768C" w:rsidRPr="005B3573" w:rsidRDefault="0036768C" w:rsidP="0036768C">
            <w:pPr>
              <w:pStyle w:val="TableTextL"/>
              <w:jc w:val="center"/>
            </w:pPr>
            <w:r>
              <w:t>LTS</w:t>
            </w:r>
          </w:p>
        </w:tc>
      </w:tr>
      <w:tr w:rsidR="0036768C" w:rsidRPr="005B3573" w14:paraId="2590039C" w14:textId="77777777" w:rsidTr="002B7098">
        <w:trPr>
          <w:jc w:val="center"/>
        </w:trPr>
        <w:tc>
          <w:tcPr>
            <w:tcW w:w="5856" w:type="dxa"/>
            <w:tcBorders>
              <w:bottom w:val="single" w:sz="4" w:space="0" w:color="auto"/>
            </w:tcBorders>
          </w:tcPr>
          <w:p w14:paraId="32A8281E" w14:textId="77777777" w:rsidR="0036768C" w:rsidRPr="00931675" w:rsidRDefault="0036768C" w:rsidP="0036768C">
            <w:pPr>
              <w:pStyle w:val="TableTextL"/>
              <w:rPr>
                <w:b/>
                <w:bCs/>
              </w:rPr>
            </w:pPr>
            <w:r w:rsidRPr="00931675">
              <w:rPr>
                <w:b/>
                <w:bCs/>
              </w:rPr>
              <w:t>Impact UTIL-2: Generate Solid Waste in Excess of State Standards or Exceed Local Infrastructure Capacity</w:t>
            </w:r>
          </w:p>
          <w:p w14:paraId="0157662E" w14:textId="7817C7C9" w:rsidR="0036768C" w:rsidRPr="005B3573" w:rsidRDefault="0036768C" w:rsidP="0036768C">
            <w:pPr>
              <w:pStyle w:val="TableTextL"/>
            </w:pPr>
            <w:r>
              <w:t xml:space="preserve">The increase in pace and scale of vegetation treatments under the CalVTP would result in an associated increase in the volume of solid organic waste generated during treatment. The volume of biomass transported offsite to existing biomass power plants, wood product processing facilities, and/or composting facilities for </w:t>
            </w:r>
            <w:r>
              <w:lastRenderedPageBreak/>
              <w:t>processing would also increase. Although additional infrastructure for the processing of organic materials is expected to be developed in the near future in California in response to waste management statutes, expanded in-state market for wood products, and increasing demand for alternative energy sources, it is too speculative to assume that this growth would occur consistent with the increased pace and scale of vegetation treatments. Therefore, implementation of the CalVTP may generate solid organic waste in excess of infrastructure capacity. Thus, to meet CEQA’s mandate of good faith disclosure and to not risk understating potential future impacts in light of the uncertainties, this PEIR classifies this impact as potentially significant, notwithstanding the possibility that capacity could increase with the scale of treatments such that it would not be exceeded for most or all individual treatments.</w:t>
            </w:r>
          </w:p>
        </w:tc>
        <w:tc>
          <w:tcPr>
            <w:tcW w:w="993" w:type="dxa"/>
            <w:tcBorders>
              <w:bottom w:val="single" w:sz="4" w:space="0" w:color="auto"/>
            </w:tcBorders>
          </w:tcPr>
          <w:p w14:paraId="10F7993A" w14:textId="2DEACCC1" w:rsidR="0036768C" w:rsidRPr="005B3573" w:rsidRDefault="0036768C" w:rsidP="0036768C">
            <w:pPr>
              <w:pStyle w:val="TableTextL"/>
              <w:jc w:val="center"/>
            </w:pPr>
            <w:r>
              <w:lastRenderedPageBreak/>
              <w:t>PS</w:t>
            </w:r>
          </w:p>
        </w:tc>
        <w:tc>
          <w:tcPr>
            <w:tcW w:w="5893" w:type="dxa"/>
            <w:tcBorders>
              <w:bottom w:val="single" w:sz="4" w:space="0" w:color="auto"/>
            </w:tcBorders>
          </w:tcPr>
          <w:p w14:paraId="05BE077D" w14:textId="2CD0A348" w:rsidR="0036768C" w:rsidRPr="005B3573" w:rsidRDefault="00462E42" w:rsidP="0036768C">
            <w:pPr>
              <w:pStyle w:val="TableTextL"/>
            </w:pPr>
            <w:r>
              <w:t>Additional measures are not feasible.</w:t>
            </w:r>
          </w:p>
        </w:tc>
        <w:tc>
          <w:tcPr>
            <w:tcW w:w="938" w:type="dxa"/>
            <w:tcBorders>
              <w:bottom w:val="single" w:sz="4" w:space="0" w:color="auto"/>
            </w:tcBorders>
          </w:tcPr>
          <w:p w14:paraId="6631F4FA" w14:textId="5B14DAD8" w:rsidR="0036768C" w:rsidRPr="005B3573" w:rsidRDefault="0036768C" w:rsidP="0036768C">
            <w:pPr>
              <w:pStyle w:val="TableTextL"/>
              <w:jc w:val="center"/>
            </w:pPr>
            <w:r>
              <w:t>SU</w:t>
            </w:r>
          </w:p>
        </w:tc>
      </w:tr>
      <w:tr w:rsidR="0036768C" w:rsidRPr="005B3573" w14:paraId="2032A15F" w14:textId="77777777" w:rsidTr="002B7098">
        <w:trPr>
          <w:jc w:val="center"/>
        </w:trPr>
        <w:tc>
          <w:tcPr>
            <w:tcW w:w="5856" w:type="dxa"/>
            <w:tcBorders>
              <w:bottom w:val="single" w:sz="4" w:space="0" w:color="auto"/>
            </w:tcBorders>
          </w:tcPr>
          <w:p w14:paraId="5F5E386C" w14:textId="77777777" w:rsidR="0036768C" w:rsidRPr="0091016D" w:rsidRDefault="0036768C" w:rsidP="0036768C">
            <w:pPr>
              <w:pStyle w:val="TableTextL"/>
              <w:rPr>
                <w:b/>
                <w:bCs/>
              </w:rPr>
            </w:pPr>
            <w:r w:rsidRPr="0091016D">
              <w:rPr>
                <w:b/>
                <w:bCs/>
              </w:rPr>
              <w:t>Impact UTIL-3: Comply with Federal, State, and Local Management and Reduction Goals, Statutes, and Regulations Related to Solid Waste</w:t>
            </w:r>
          </w:p>
          <w:p w14:paraId="77D582B3" w14:textId="3CA7638C" w:rsidR="0036768C" w:rsidRPr="005B3573" w:rsidRDefault="0036768C" w:rsidP="0036768C">
            <w:pPr>
              <w:pStyle w:val="TableTextL"/>
            </w:pPr>
            <w:r>
              <w:t>Implementation of the CalVTP would divert solid organic waste generated from treatment activities from solid waste facilities to biomass power plant, wood product processing facility, and/or composting for processing. This would decrease the amount of waste transported to solid waste facilities consistent with AB 939 and SB 1383. Therefore, the impact would be less than significant.</w:t>
            </w:r>
          </w:p>
        </w:tc>
        <w:tc>
          <w:tcPr>
            <w:tcW w:w="993" w:type="dxa"/>
            <w:tcBorders>
              <w:bottom w:val="single" w:sz="4" w:space="0" w:color="auto"/>
            </w:tcBorders>
          </w:tcPr>
          <w:p w14:paraId="5503F879" w14:textId="7A74F7AD" w:rsidR="0036768C" w:rsidRPr="005B3573" w:rsidRDefault="0036768C" w:rsidP="0036768C">
            <w:pPr>
              <w:pStyle w:val="TableTextL"/>
              <w:jc w:val="center"/>
            </w:pPr>
            <w:r>
              <w:t>LTS</w:t>
            </w:r>
          </w:p>
        </w:tc>
        <w:tc>
          <w:tcPr>
            <w:tcW w:w="5893" w:type="dxa"/>
            <w:tcBorders>
              <w:bottom w:val="single" w:sz="4" w:space="0" w:color="auto"/>
            </w:tcBorders>
          </w:tcPr>
          <w:p w14:paraId="14602615" w14:textId="744E9B29" w:rsidR="0036768C" w:rsidRPr="005B3573" w:rsidRDefault="0036768C" w:rsidP="0036768C">
            <w:pPr>
              <w:pStyle w:val="TableTextL"/>
            </w:pPr>
            <w:r>
              <w:t>No mitigation is required.</w:t>
            </w:r>
          </w:p>
        </w:tc>
        <w:tc>
          <w:tcPr>
            <w:tcW w:w="938" w:type="dxa"/>
            <w:tcBorders>
              <w:bottom w:val="single" w:sz="4" w:space="0" w:color="auto"/>
            </w:tcBorders>
          </w:tcPr>
          <w:p w14:paraId="47A1AB3A" w14:textId="06A362B8" w:rsidR="0036768C" w:rsidRPr="005B3573" w:rsidRDefault="0036768C" w:rsidP="0036768C">
            <w:pPr>
              <w:pStyle w:val="TableTextL"/>
              <w:jc w:val="center"/>
            </w:pPr>
            <w:r>
              <w:t>LTS</w:t>
            </w:r>
          </w:p>
        </w:tc>
      </w:tr>
      <w:tr w:rsidR="0036768C" w:rsidRPr="005B3573" w14:paraId="34D61BAC" w14:textId="77777777" w:rsidTr="002B7098">
        <w:trPr>
          <w:jc w:val="center"/>
        </w:trPr>
        <w:tc>
          <w:tcPr>
            <w:tcW w:w="5856" w:type="dxa"/>
            <w:tcBorders>
              <w:top w:val="single" w:sz="4" w:space="0" w:color="auto"/>
              <w:right w:val="nil"/>
            </w:tcBorders>
            <w:shd w:val="clear" w:color="auto" w:fill="F2F2F2" w:themeFill="background1" w:themeFillShade="F2"/>
          </w:tcPr>
          <w:p w14:paraId="517106B4" w14:textId="29AB07EE" w:rsidR="0036768C" w:rsidRPr="00274BB3" w:rsidRDefault="0036768C" w:rsidP="0036768C">
            <w:pPr>
              <w:pStyle w:val="TableTextL"/>
              <w:keepNext/>
              <w:rPr>
                <w:b/>
                <w:u w:val="single"/>
              </w:rPr>
            </w:pPr>
            <w:proofErr w:type="spellStart"/>
            <w:r w:rsidRPr="00274BB3">
              <w:rPr>
                <w:b/>
                <w:strike/>
              </w:rPr>
              <w:t>Wildlife</w:t>
            </w:r>
            <w:r w:rsidR="00274BB3">
              <w:rPr>
                <w:b/>
                <w:u w:val="single"/>
              </w:rPr>
              <w:t>Wildfire</w:t>
            </w:r>
            <w:proofErr w:type="spellEnd"/>
          </w:p>
        </w:tc>
        <w:tc>
          <w:tcPr>
            <w:tcW w:w="993" w:type="dxa"/>
            <w:tcBorders>
              <w:top w:val="single" w:sz="4" w:space="0" w:color="auto"/>
              <w:left w:val="nil"/>
              <w:right w:val="nil"/>
            </w:tcBorders>
            <w:shd w:val="clear" w:color="auto" w:fill="F2F2F2" w:themeFill="background1" w:themeFillShade="F2"/>
          </w:tcPr>
          <w:p w14:paraId="781B07E5" w14:textId="77777777" w:rsidR="0036768C" w:rsidRPr="005B3573" w:rsidRDefault="0036768C" w:rsidP="0036768C">
            <w:pPr>
              <w:pStyle w:val="TableTextL"/>
              <w:jc w:val="center"/>
              <w:rPr>
                <w:b/>
              </w:rPr>
            </w:pPr>
          </w:p>
        </w:tc>
        <w:tc>
          <w:tcPr>
            <w:tcW w:w="5893" w:type="dxa"/>
            <w:tcBorders>
              <w:top w:val="single" w:sz="4" w:space="0" w:color="auto"/>
              <w:left w:val="nil"/>
              <w:right w:val="nil"/>
            </w:tcBorders>
            <w:shd w:val="clear" w:color="auto" w:fill="F2F2F2" w:themeFill="background1" w:themeFillShade="F2"/>
          </w:tcPr>
          <w:p w14:paraId="400ADA99" w14:textId="77777777" w:rsidR="0036768C" w:rsidRPr="005B3573" w:rsidRDefault="0036768C" w:rsidP="0036768C">
            <w:pPr>
              <w:pStyle w:val="TableTextL"/>
              <w:rPr>
                <w:b/>
              </w:rPr>
            </w:pPr>
          </w:p>
        </w:tc>
        <w:tc>
          <w:tcPr>
            <w:tcW w:w="938" w:type="dxa"/>
            <w:tcBorders>
              <w:top w:val="single" w:sz="4" w:space="0" w:color="auto"/>
              <w:left w:val="nil"/>
            </w:tcBorders>
            <w:shd w:val="clear" w:color="auto" w:fill="F2F2F2" w:themeFill="background1" w:themeFillShade="F2"/>
          </w:tcPr>
          <w:p w14:paraId="7B70E38A" w14:textId="77777777" w:rsidR="0036768C" w:rsidRPr="005B3573" w:rsidRDefault="0036768C" w:rsidP="0036768C">
            <w:pPr>
              <w:pStyle w:val="TableTextL"/>
              <w:jc w:val="center"/>
              <w:rPr>
                <w:b/>
              </w:rPr>
            </w:pPr>
          </w:p>
        </w:tc>
      </w:tr>
      <w:tr w:rsidR="0036768C" w:rsidRPr="005B3573" w14:paraId="4C183F88" w14:textId="77777777" w:rsidTr="002B7098">
        <w:trPr>
          <w:jc w:val="center"/>
        </w:trPr>
        <w:tc>
          <w:tcPr>
            <w:tcW w:w="5856" w:type="dxa"/>
          </w:tcPr>
          <w:p w14:paraId="629052E2" w14:textId="77777777" w:rsidR="0036768C" w:rsidRPr="00E21AB2" w:rsidRDefault="0036768C" w:rsidP="0036768C">
            <w:pPr>
              <w:pStyle w:val="TableTextL"/>
              <w:rPr>
                <w:b/>
                <w:bCs/>
              </w:rPr>
            </w:pPr>
            <w:r w:rsidRPr="00E21AB2">
              <w:rPr>
                <w:b/>
                <w:bCs/>
              </w:rPr>
              <w:t>Impact WIL-1: Substantially Exacerbate Fire Risk and Expose People to Uncontrolled Spread of a Wildfire</w:t>
            </w:r>
          </w:p>
          <w:p w14:paraId="633CBF3E" w14:textId="55C89798" w:rsidR="0036768C" w:rsidRPr="00E21AB2" w:rsidRDefault="0036768C" w:rsidP="0036768C">
            <w:pPr>
              <w:pStyle w:val="TableTextL"/>
            </w:pPr>
            <w:r w:rsidRPr="00E21AB2">
              <w:t xml:space="preserve">Vegetation treatment activities under the CalVTP could result in temporary risks associated with uncontrolled fire from prescribed burning, as well as from the use of vehicles and heavy machinery in the treatable landscape as each can increase the risk of an accidental wildfire ignition. However, several SPRs would be implemented to reduce the risk of uncontrolled spread of fire from treatment activities. Machine-powered hand tools would have federal- or state-approved spark arrestors (SPR HAZ-2); vegetation treatment crews would carry one fire extinguisher per chainsaw and one long-handle shovel and one axe or pulaski (SPR HAZ-3); and smoking would only be permitted in designated smoking areas with barren or cleared mineral soil to at least 3 feet in diameter (SPR HAZ-4). In addition, given the extensive preparation and planning prior to a prescribed burn </w:t>
            </w:r>
            <w:r w:rsidRPr="00E21AB2">
              <w:lastRenderedPageBreak/>
              <w:t>(e.g., preparation of a SMP and Burn Plan), active monitoring and maintenance during a prescribed burn, and implementation of stringent safety protocols, prescription burning would not substantially exacerbate fire risk that could result in the uncontrolled spread of wildfire. Furthermore, one of the main objectives of the proposed CalVTP is reduce the frequency and severity of future uncontrolled wildfire. This impact would be less than significant.</w:t>
            </w:r>
          </w:p>
        </w:tc>
        <w:tc>
          <w:tcPr>
            <w:tcW w:w="993" w:type="dxa"/>
          </w:tcPr>
          <w:p w14:paraId="2C818FE8" w14:textId="7C8E3E59" w:rsidR="0036768C" w:rsidRPr="005B3573" w:rsidRDefault="0036768C" w:rsidP="0036768C">
            <w:pPr>
              <w:pStyle w:val="TableTextL"/>
              <w:jc w:val="center"/>
            </w:pPr>
            <w:r>
              <w:lastRenderedPageBreak/>
              <w:t>LTS</w:t>
            </w:r>
          </w:p>
        </w:tc>
        <w:tc>
          <w:tcPr>
            <w:tcW w:w="5893" w:type="dxa"/>
          </w:tcPr>
          <w:p w14:paraId="017A7DB8" w14:textId="77FACB13" w:rsidR="0036768C" w:rsidRPr="005B3573" w:rsidRDefault="0036768C" w:rsidP="0036768C">
            <w:pPr>
              <w:pStyle w:val="TableTextL"/>
            </w:pPr>
            <w:r>
              <w:t>No mitigation is required.</w:t>
            </w:r>
          </w:p>
        </w:tc>
        <w:tc>
          <w:tcPr>
            <w:tcW w:w="938" w:type="dxa"/>
          </w:tcPr>
          <w:p w14:paraId="5335A56E" w14:textId="6B4D83B9" w:rsidR="0036768C" w:rsidRPr="005B3573" w:rsidRDefault="0036768C" w:rsidP="0036768C">
            <w:pPr>
              <w:pStyle w:val="TableTextL"/>
              <w:jc w:val="center"/>
            </w:pPr>
            <w:r>
              <w:t>LTS</w:t>
            </w:r>
          </w:p>
        </w:tc>
      </w:tr>
      <w:tr w:rsidR="0036768C" w:rsidRPr="005B3573" w14:paraId="32F3D8EA" w14:textId="77777777" w:rsidTr="002B7098">
        <w:trPr>
          <w:jc w:val="center"/>
        </w:trPr>
        <w:tc>
          <w:tcPr>
            <w:tcW w:w="5856" w:type="dxa"/>
          </w:tcPr>
          <w:p w14:paraId="3137BD58" w14:textId="77777777" w:rsidR="0036768C" w:rsidRPr="00FB726D" w:rsidRDefault="0036768C" w:rsidP="0036768C">
            <w:pPr>
              <w:pStyle w:val="TableTextL"/>
              <w:rPr>
                <w:b/>
                <w:bCs/>
              </w:rPr>
            </w:pPr>
            <w:r w:rsidRPr="00FB726D">
              <w:rPr>
                <w:b/>
                <w:bCs/>
              </w:rPr>
              <w:t>Impact WIL-2: Expose People or Structures to Substantial Risks Related to Post-Fire Flooding or Landslides</w:t>
            </w:r>
          </w:p>
          <w:p w14:paraId="7FD2264C" w14:textId="4267A087" w:rsidR="0036768C" w:rsidRPr="005B3573" w:rsidRDefault="0036768C" w:rsidP="0036768C">
            <w:pPr>
              <w:pStyle w:val="TableTextL"/>
            </w:pPr>
            <w:r>
              <w:t>The proposed CalVTP does not include new housing nor would it result in substantial unplanned population growth. Therefore, it would not place people or structures in an area with risks related to post-wildfire flooding or landslides. Prescribed burning implemented under the proposed CalVTP would be low severity and typically retain substantial vegetation, thereby maintaining stability of the soil. In addition, SPRs GEO-3, GEO-4, GEO-5,  GEO-8, and SPR AQ-3 would be incorporated into qualifying projects under the CalVTP to stabilize disturbed soils from treatments to minimize erosion (SPR GEO-3), inspect treatment areas for evidence of erosion after prior to the rainy season and following the first  large rainfall event (SPR GEO-4), drain stormwater via water breaks to reduce stormwater runoff (SPR GEO-5), minimize soil burn severity during prescribed burns which would help to retain vegetation to stabilize the soil (SPR AQ-3), and require that a registered professional forester or licensed geologist evaluate treatment areas for potential issues with instability and modify treatments to account for instability issues (SPR GEO-8). Therefore, prescribed burning under the CalVTP would not expose people or structures to substantial risks from post-prescribed burning landslides or flooding. Furthermore, one of the primary purposes of the CalVTP is to reduce the frequency and severity of wildfire. Therefore, the intended wildfire risk reduction achieved with implementation of the CalVTP could also result in a reduction in the associated post-wildfire risk of landslides and flooding. The impact would be less than significant.</w:t>
            </w:r>
          </w:p>
        </w:tc>
        <w:tc>
          <w:tcPr>
            <w:tcW w:w="993" w:type="dxa"/>
          </w:tcPr>
          <w:p w14:paraId="3C143B8E" w14:textId="4EDD493D" w:rsidR="0036768C" w:rsidRPr="005B3573" w:rsidRDefault="0036768C" w:rsidP="0036768C">
            <w:pPr>
              <w:pStyle w:val="TableTextL"/>
              <w:jc w:val="center"/>
            </w:pPr>
            <w:r>
              <w:t>LTS</w:t>
            </w:r>
          </w:p>
        </w:tc>
        <w:tc>
          <w:tcPr>
            <w:tcW w:w="5893" w:type="dxa"/>
          </w:tcPr>
          <w:p w14:paraId="6F3D797F" w14:textId="1A4F96DC" w:rsidR="0036768C" w:rsidRPr="005B3573" w:rsidRDefault="0036768C" w:rsidP="0036768C">
            <w:pPr>
              <w:pStyle w:val="TableTextL"/>
            </w:pPr>
            <w:r>
              <w:t>No mitigation is required.</w:t>
            </w:r>
          </w:p>
        </w:tc>
        <w:tc>
          <w:tcPr>
            <w:tcW w:w="938" w:type="dxa"/>
          </w:tcPr>
          <w:p w14:paraId="246ADED8" w14:textId="7A5B2666" w:rsidR="0036768C" w:rsidRPr="005B3573" w:rsidRDefault="0036768C" w:rsidP="0036768C">
            <w:pPr>
              <w:pStyle w:val="TableTextL"/>
              <w:jc w:val="center"/>
            </w:pPr>
            <w:r>
              <w:t>LTS</w:t>
            </w:r>
          </w:p>
        </w:tc>
      </w:tr>
    </w:tbl>
    <w:p w14:paraId="419CA012" w14:textId="77777777" w:rsidR="00FF59DC" w:rsidRPr="00772575" w:rsidRDefault="00FF59DC" w:rsidP="00964B81">
      <w:pPr>
        <w:spacing w:after="200" w:line="276" w:lineRule="auto"/>
      </w:pPr>
    </w:p>
    <w:sectPr w:rsidR="00FF59DC" w:rsidRPr="00772575" w:rsidSect="00964B81">
      <w:headerReference w:type="even" r:id="rId17"/>
      <w:headerReference w:type="default" r:id="rId18"/>
      <w:footerReference w:type="even" r:id="rId19"/>
      <w:footerReference w:type="default" r:id="rId20"/>
      <w:pgSz w:w="15840" w:h="12240" w:orient="landscape" w:code="1"/>
      <w:pgMar w:top="1080" w:right="1080" w:bottom="1080" w:left="1080" w:header="576" w:footer="576"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B2702" w14:textId="77777777" w:rsidR="00E85ABB" w:rsidRDefault="00E85ABB" w:rsidP="00A94D87">
      <w:r>
        <w:separator/>
      </w:r>
    </w:p>
    <w:p w14:paraId="3E3449A0" w14:textId="77777777" w:rsidR="00E85ABB" w:rsidRDefault="00E85ABB"/>
  </w:endnote>
  <w:endnote w:type="continuationSeparator" w:id="0">
    <w:p w14:paraId="579A449B" w14:textId="77777777" w:rsidR="00E85ABB" w:rsidRDefault="00E85ABB" w:rsidP="00A94D87">
      <w:r>
        <w:continuationSeparator/>
      </w:r>
    </w:p>
    <w:p w14:paraId="5446E285" w14:textId="77777777" w:rsidR="00E85ABB" w:rsidRDefault="00E85ABB"/>
  </w:endnote>
  <w:endnote w:type="continuationNotice" w:id="1">
    <w:p w14:paraId="76575A38" w14:textId="77777777" w:rsidR="00E85ABB" w:rsidRDefault="00E85ABB"/>
    <w:p w14:paraId="102D1BB8" w14:textId="77777777" w:rsidR="00E85ABB" w:rsidRDefault="00E85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light">
    <w:altName w:val="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1CE6" w14:textId="48C28E3A" w:rsidR="00E85ABB" w:rsidRPr="00AE4D3F" w:rsidRDefault="00E85ABB" w:rsidP="00B22507">
    <w:pPr>
      <w:pStyle w:val="Footer"/>
    </w:pPr>
    <w:r w:rsidRPr="00AE4D3F">
      <w:tab/>
      <w:t>Board of Forestry and Fire Protection</w:t>
    </w:r>
    <w:r>
      <w:br/>
    </w:r>
    <w:r>
      <w:rPr>
        <w:rFonts w:cs="Segoe UI Semilight"/>
      </w:rPr>
      <w:t>ES-</w:t>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9D36E4">
      <w:rPr>
        <w:rFonts w:cs="Segoe UI Semilight"/>
        <w:noProof/>
      </w:rPr>
      <w:t>6</w:t>
    </w:r>
    <w:r w:rsidRPr="00AE4D3F">
      <w:rPr>
        <w:rFonts w:cs="Segoe UI Semilight"/>
        <w:noProof/>
      </w:rPr>
      <w:fldChar w:fldCharType="end"/>
    </w:r>
    <w:r>
      <w:rPr>
        <w:rFonts w:cs="Segoe UI Semilight"/>
        <w:noProof/>
      </w:rPr>
      <w:tab/>
      <w:t xml:space="preserve">Final Program EIR for the </w:t>
    </w:r>
    <w:r>
      <w:rPr>
        <w:rFonts w:cs="Segoe UI Semilight"/>
      </w:rPr>
      <w:t>California Vegetation Treatment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38637" w14:textId="57E8B568" w:rsidR="00E85ABB" w:rsidRPr="00AE4D3F" w:rsidRDefault="00E85ABB" w:rsidP="00B22507">
    <w:pPr>
      <w:pStyle w:val="Footer"/>
    </w:pPr>
    <w:r w:rsidRPr="00AE4D3F">
      <w:t>Board of Forestry and Fire Protection</w:t>
    </w:r>
    <w:r w:rsidRPr="00AE4D3F">
      <w:tab/>
    </w:r>
    <w:r>
      <w:br/>
    </w:r>
    <w:r>
      <w:rPr>
        <w:rFonts w:cs="Segoe UI Semilight"/>
      </w:rPr>
      <w:t>Final Program EIR for the California Vegetation Treatment Program</w:t>
    </w:r>
    <w:r>
      <w:rPr>
        <w:rFonts w:cs="Segoe UI Semilight"/>
      </w:rPr>
      <w:tab/>
      <w:t>ES-</w:t>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9D36E4">
      <w:rPr>
        <w:rFonts w:cs="Segoe UI Semilight"/>
        <w:noProof/>
      </w:rPr>
      <w:t>7</w:t>
    </w:r>
    <w:r w:rsidRPr="00AE4D3F">
      <w:rPr>
        <w:rFonts w:cs="Segoe UI Semilight"/>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11740" w14:textId="4970DC57" w:rsidR="00E85ABB" w:rsidRPr="00AE4D3F" w:rsidRDefault="00E85ABB" w:rsidP="00B22507">
    <w:pPr>
      <w:pStyle w:val="Footer"/>
    </w:pPr>
    <w:r w:rsidRPr="00AE4D3F">
      <w:t>Board of Forestry and Fire Protection</w:t>
    </w:r>
    <w:r w:rsidRPr="00AE4D3F">
      <w:tab/>
    </w:r>
    <w:r>
      <w:br/>
    </w:r>
    <w:r>
      <w:rPr>
        <w:rFonts w:cs="Segoe UI Semilight"/>
      </w:rPr>
      <w:t>Final Program EIR for the California Vegetation Treatment Program</w:t>
    </w:r>
    <w:r>
      <w:rPr>
        <w:rFonts w:cs="Segoe UI Semilight"/>
      </w:rPr>
      <w:tab/>
      <w:t>ES-</w:t>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9D36E4">
      <w:rPr>
        <w:rFonts w:cs="Segoe UI Semilight"/>
        <w:noProof/>
      </w:rPr>
      <w:t>1</w:t>
    </w:r>
    <w:r w:rsidRPr="00AE4D3F">
      <w:rPr>
        <w:rFonts w:cs="Segoe UI Semilight"/>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2626E" w14:textId="37E3B403" w:rsidR="00E85ABB" w:rsidRPr="00AE4D3F" w:rsidRDefault="00E85ABB" w:rsidP="00F935E9">
    <w:pPr>
      <w:pStyle w:val="FooterLandscape"/>
    </w:pPr>
    <w:r w:rsidRPr="00AE4D3F">
      <w:tab/>
      <w:t>Board of Forestry and Fire Protection</w:t>
    </w:r>
    <w:r>
      <w:br/>
      <w:t>ES-</w:t>
    </w:r>
    <w:r w:rsidRPr="00AE4D3F">
      <w:fldChar w:fldCharType="begin"/>
    </w:r>
    <w:r w:rsidRPr="00AE4D3F">
      <w:instrText xml:space="preserve"> PAGE   \* MERGEFORMAT </w:instrText>
    </w:r>
    <w:r w:rsidRPr="00AE4D3F">
      <w:fldChar w:fldCharType="separate"/>
    </w:r>
    <w:r w:rsidR="009D36E4">
      <w:rPr>
        <w:noProof/>
      </w:rPr>
      <w:t>20</w:t>
    </w:r>
    <w:r w:rsidRPr="00AE4D3F">
      <w:rPr>
        <w:noProof/>
      </w:rPr>
      <w:fldChar w:fldCharType="end"/>
    </w:r>
    <w:r>
      <w:rPr>
        <w:noProof/>
      </w:rPr>
      <w:tab/>
      <w:t xml:space="preserve">Final Program EIR for the </w:t>
    </w:r>
    <w:r>
      <w:t>California Vegetation Treatment Program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972C0" w14:textId="2FF9C327" w:rsidR="00E85ABB" w:rsidRPr="00AE4D3F" w:rsidRDefault="00E85ABB" w:rsidP="00F935E9">
    <w:pPr>
      <w:pStyle w:val="FooterLandscape"/>
    </w:pPr>
    <w:r w:rsidRPr="00AE4D3F">
      <w:t>Board of Forestry and Fire Protection</w:t>
    </w:r>
    <w:r w:rsidRPr="00AE4D3F">
      <w:tab/>
    </w:r>
    <w:r>
      <w:br/>
      <w:t>Final Program EIR for the California Vegetation Treatment Program</w:t>
    </w:r>
    <w:r>
      <w:tab/>
      <w:t>ES-</w:t>
    </w:r>
    <w:r w:rsidRPr="00AE4D3F">
      <w:fldChar w:fldCharType="begin"/>
    </w:r>
    <w:r w:rsidRPr="00AE4D3F">
      <w:instrText xml:space="preserve"> PAGE   \* MERGEFORMAT </w:instrText>
    </w:r>
    <w:r w:rsidRPr="00AE4D3F">
      <w:fldChar w:fldCharType="separate"/>
    </w:r>
    <w:r w:rsidR="009D36E4">
      <w:rPr>
        <w:noProof/>
      </w:rPr>
      <w:t>21</w:t>
    </w:r>
    <w:r w:rsidRPr="00AE4D3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FB588" w14:textId="77777777" w:rsidR="00E85ABB" w:rsidRDefault="00E85ABB" w:rsidP="00A94D87">
      <w:r>
        <w:separator/>
      </w:r>
    </w:p>
    <w:p w14:paraId="29F3F235" w14:textId="77777777" w:rsidR="00E85ABB" w:rsidRDefault="00E85ABB"/>
  </w:footnote>
  <w:footnote w:type="continuationSeparator" w:id="0">
    <w:p w14:paraId="1CC5AFFE" w14:textId="77777777" w:rsidR="00E85ABB" w:rsidRDefault="00E85ABB" w:rsidP="00A94D87">
      <w:r>
        <w:continuationSeparator/>
      </w:r>
    </w:p>
    <w:p w14:paraId="66FD65A8" w14:textId="77777777" w:rsidR="00E85ABB" w:rsidRDefault="00E85ABB"/>
  </w:footnote>
  <w:footnote w:type="continuationNotice" w:id="1">
    <w:p w14:paraId="6DC5B9DD" w14:textId="77777777" w:rsidR="00E85ABB" w:rsidRDefault="00E85ABB"/>
    <w:p w14:paraId="557845B3" w14:textId="77777777" w:rsidR="00E85ABB" w:rsidRDefault="00E85A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6A15" w14:textId="4D91CFE5" w:rsidR="00E85ABB" w:rsidRPr="00A62473" w:rsidRDefault="00E85ABB" w:rsidP="00357593">
    <w:pPr>
      <w:pStyle w:val="Header"/>
    </w:pPr>
    <w:r>
      <w:t>Executive Summary</w:t>
    </w:r>
    <w:r>
      <w:tab/>
    </w:r>
    <w:r>
      <w:tab/>
      <w:t>Ascent Environmental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93310" w14:textId="6DE15CD4" w:rsidR="00E85ABB" w:rsidRPr="00A62473" w:rsidRDefault="00E85ABB" w:rsidP="00357593">
    <w:pPr>
      <w:pStyle w:val="Header"/>
    </w:pPr>
    <w:r>
      <w:t>Ascent Environmental</w:t>
    </w:r>
    <w:r>
      <w:tab/>
    </w:r>
    <w:r>
      <w:tab/>
      <w:t>Executive Summary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10B90" w14:textId="6DE03658" w:rsidR="00E85ABB" w:rsidRPr="00ED3D35" w:rsidRDefault="00E85ABB" w:rsidP="00E12E02">
    <w:pPr>
      <w:pStyle w:val="Header"/>
      <w:pBdr>
        <w:bottom w:val="none" w:sz="0" w:space="0" w:color="auto"/>
      </w:pBd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0C870" w14:textId="79B32CA5" w:rsidR="00E85ABB" w:rsidRPr="00A62473" w:rsidRDefault="00E85ABB" w:rsidP="004E0E8F">
    <w:pPr>
      <w:pStyle w:val="HeaderLandscape"/>
    </w:pPr>
    <w:r>
      <w:t>Executive Summary</w:t>
    </w:r>
    <w:r>
      <w:tab/>
    </w:r>
    <w:r>
      <w:tab/>
      <w:t>Ascent Environmental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1E46C" w14:textId="69C4AB0D" w:rsidR="00E85ABB" w:rsidRPr="00A62473" w:rsidRDefault="00E85ABB" w:rsidP="000441EB">
    <w:pPr>
      <w:pStyle w:val="HeaderLandscape"/>
    </w:pPr>
    <w:r>
      <w:t>Ascent Environmental</w:t>
    </w:r>
    <w:r>
      <w:tab/>
    </w:r>
    <w:r>
      <w:tab/>
      <w:t>Executive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0218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4C2C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DCB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E644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EF1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6421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85C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6E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DC32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27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82A64"/>
    <w:multiLevelType w:val="hybridMultilevel"/>
    <w:tmpl w:val="8616937E"/>
    <w:lvl w:ilvl="0" w:tplc="D5D00BC4">
      <w:start w:val="1"/>
      <w:numFmt w:val="bullet"/>
      <w:lvlText w:val="­"/>
      <w:lvlJc w:val="left"/>
      <w:pPr>
        <w:ind w:left="1094" w:hanging="360"/>
      </w:pPr>
      <w:rPr>
        <w:rFonts w:ascii="Courier New" w:hAnsi="Courier New" w:hint="default"/>
      </w:rPr>
    </w:lvl>
    <w:lvl w:ilvl="1" w:tplc="D46A7A98">
      <w:start w:val="1"/>
      <w:numFmt w:val="bullet"/>
      <w:pStyle w:val="TableBullet3"/>
      <w:lvlText w:val="­"/>
      <w:lvlJc w:val="left"/>
      <w:pPr>
        <w:ind w:left="1814" w:hanging="360"/>
      </w:pPr>
      <w:rPr>
        <w:rFonts w:ascii="Courier New" w:hAnsi="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1" w15:restartNumberingAfterBreak="0">
    <w:nsid w:val="034D4BFB"/>
    <w:multiLevelType w:val="hybridMultilevel"/>
    <w:tmpl w:val="3D682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3B031E"/>
    <w:multiLevelType w:val="multilevel"/>
    <w:tmpl w:val="60D4034C"/>
    <w:lvl w:ilvl="0">
      <w:start w:val="1"/>
      <w:numFmt w:val="decimal"/>
      <w:pStyle w:val="Heading1"/>
      <w:lvlText w:val="%1"/>
      <w:lvlJc w:val="center"/>
      <w:pPr>
        <w:ind w:left="0" w:firstLine="0"/>
      </w:pPr>
      <w:rPr>
        <w:rFonts w:hint="default"/>
        <w:specVanish w:val="0"/>
      </w:rPr>
    </w:lvl>
    <w:lvl w:ilvl="1">
      <w:start w:val="1"/>
      <w:numFmt w:val="decimal"/>
      <w:lvlText w:val="%1.%2"/>
      <w:lvlJc w:val="left"/>
      <w:pPr>
        <w:tabs>
          <w:tab w:val="num" w:pos="1260"/>
        </w:tabs>
        <w:ind w:left="1080" w:hanging="1080"/>
      </w:pPr>
      <w:rPr>
        <w:rFonts w:hint="default"/>
        <w:specVanish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167300"/>
    <w:multiLevelType w:val="hybridMultilevel"/>
    <w:tmpl w:val="0EBA3A10"/>
    <w:lvl w:ilvl="0" w:tplc="0409000F">
      <w:start w:val="1"/>
      <w:numFmt w:val="decimal"/>
      <w:lvlText w:val="%1."/>
      <w:lvlJc w:val="left"/>
      <w:pPr>
        <w:ind w:left="720" w:hanging="360"/>
      </w:pPr>
      <w:rPr>
        <w:rFonts w:hint="default"/>
        <w:b w:val="0"/>
        <w:i w:val="0"/>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257A9D"/>
    <w:multiLevelType w:val="hybridMultilevel"/>
    <w:tmpl w:val="D84EB71E"/>
    <w:lvl w:ilvl="0" w:tplc="A9EAF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64B32"/>
    <w:multiLevelType w:val="hybridMultilevel"/>
    <w:tmpl w:val="8724D986"/>
    <w:lvl w:ilvl="0" w:tplc="D83AA7D8">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E5C9B"/>
    <w:multiLevelType w:val="hybridMultilevel"/>
    <w:tmpl w:val="8A56AC36"/>
    <w:lvl w:ilvl="0" w:tplc="001ECCC2">
      <w:start w:val="1"/>
      <w:numFmt w:val="bullet"/>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E34B1A"/>
    <w:multiLevelType w:val="hybridMultilevel"/>
    <w:tmpl w:val="DE8884FC"/>
    <w:lvl w:ilvl="0" w:tplc="7AA470E8">
      <w:start w:val="1"/>
      <w:numFmt w:val="bullet"/>
      <w:pStyle w:val="TableBullet2"/>
      <w:lvlText w:val=""/>
      <w:lvlJc w:val="left"/>
      <w:pPr>
        <w:ind w:left="576"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3"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2"/>
  </w:num>
  <w:num w:numId="3">
    <w:abstractNumId w:val="15"/>
  </w:num>
  <w:num w:numId="4">
    <w:abstractNumId w:val="23"/>
  </w:num>
  <w:num w:numId="5">
    <w:abstractNumId w:val="19"/>
  </w:num>
  <w:num w:numId="6">
    <w:abstractNumId w:val="14"/>
  </w:num>
  <w:num w:numId="7">
    <w:abstractNumId w:val="22"/>
  </w:num>
  <w:num w:numId="8">
    <w:abstractNumId w:val="13"/>
  </w:num>
  <w:num w:numId="9">
    <w:abstractNumId w:val="10"/>
  </w:num>
  <w:num w:numId="10">
    <w:abstractNumId w:val="17"/>
  </w:num>
  <w:num w:numId="11">
    <w:abstractNumId w:val="21"/>
  </w:num>
  <w:num w:numId="12">
    <w:abstractNumId w:val="11"/>
  </w:num>
  <w:num w:numId="13">
    <w:abstractNumId w:val="9"/>
  </w:num>
  <w:num w:numId="14">
    <w:abstractNumId w:val="20"/>
  </w:num>
  <w:num w:numId="15">
    <w:abstractNumId w:val="18"/>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1" w:cryptProviderType="rsaAES" w:cryptAlgorithmClass="hash" w:cryptAlgorithmType="typeAny" w:cryptAlgorithmSid="14" w:cryptSpinCount="100000" w:hash="pr2cvPVpUo1JCfNFug1sAuegsNAP2EfrxMpHZfepCx3uhR5Q6O2OcgvlMgAA9fIigvsGb3QtM6Olu6UewxM9cw==" w:salt="4rQuk1ll6y+bsOqIXkjCEA=="/>
  <w:defaultTabStop w:val="720"/>
  <w:evenAndOddHeaders/>
  <w:drawingGridHorizontalSpacing w:val="110"/>
  <w:displayHorizontalDrawingGridEvery w:val="2"/>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8A"/>
    <w:rsid w:val="000002C6"/>
    <w:rsid w:val="00001B20"/>
    <w:rsid w:val="00001ED5"/>
    <w:rsid w:val="00002393"/>
    <w:rsid w:val="00002C37"/>
    <w:rsid w:val="00002DE0"/>
    <w:rsid w:val="000036BC"/>
    <w:rsid w:val="0000379A"/>
    <w:rsid w:val="000040F7"/>
    <w:rsid w:val="0000557E"/>
    <w:rsid w:val="000073D0"/>
    <w:rsid w:val="000101D5"/>
    <w:rsid w:val="00010494"/>
    <w:rsid w:val="00010FCF"/>
    <w:rsid w:val="00012C36"/>
    <w:rsid w:val="00012F77"/>
    <w:rsid w:val="00013568"/>
    <w:rsid w:val="0001441F"/>
    <w:rsid w:val="00015A4A"/>
    <w:rsid w:val="0001648D"/>
    <w:rsid w:val="0001769D"/>
    <w:rsid w:val="00017F02"/>
    <w:rsid w:val="00021FE7"/>
    <w:rsid w:val="00022684"/>
    <w:rsid w:val="00022CC4"/>
    <w:rsid w:val="00022E7F"/>
    <w:rsid w:val="0002363E"/>
    <w:rsid w:val="00024CB4"/>
    <w:rsid w:val="000255F6"/>
    <w:rsid w:val="00026B1B"/>
    <w:rsid w:val="0002732A"/>
    <w:rsid w:val="000301AA"/>
    <w:rsid w:val="00030452"/>
    <w:rsid w:val="000315B1"/>
    <w:rsid w:val="00031845"/>
    <w:rsid w:val="00032615"/>
    <w:rsid w:val="0003378A"/>
    <w:rsid w:val="00033DCA"/>
    <w:rsid w:val="0003649C"/>
    <w:rsid w:val="00037B64"/>
    <w:rsid w:val="000406F4"/>
    <w:rsid w:val="00040702"/>
    <w:rsid w:val="00041327"/>
    <w:rsid w:val="0004150A"/>
    <w:rsid w:val="00042596"/>
    <w:rsid w:val="000441EB"/>
    <w:rsid w:val="00045EA4"/>
    <w:rsid w:val="000502D7"/>
    <w:rsid w:val="0005159A"/>
    <w:rsid w:val="00052569"/>
    <w:rsid w:val="00054C07"/>
    <w:rsid w:val="000610F9"/>
    <w:rsid w:val="000639B9"/>
    <w:rsid w:val="00063ACA"/>
    <w:rsid w:val="00063DA3"/>
    <w:rsid w:val="000642D2"/>
    <w:rsid w:val="000658DE"/>
    <w:rsid w:val="0006612D"/>
    <w:rsid w:val="00072161"/>
    <w:rsid w:val="00072F29"/>
    <w:rsid w:val="00073736"/>
    <w:rsid w:val="000765A2"/>
    <w:rsid w:val="00076A73"/>
    <w:rsid w:val="0007767A"/>
    <w:rsid w:val="0007781C"/>
    <w:rsid w:val="00081412"/>
    <w:rsid w:val="00081BFA"/>
    <w:rsid w:val="000822FF"/>
    <w:rsid w:val="000830E9"/>
    <w:rsid w:val="00083984"/>
    <w:rsid w:val="000843A5"/>
    <w:rsid w:val="0008474E"/>
    <w:rsid w:val="00084ECD"/>
    <w:rsid w:val="0008533A"/>
    <w:rsid w:val="00085BD1"/>
    <w:rsid w:val="000868F0"/>
    <w:rsid w:val="00086D24"/>
    <w:rsid w:val="00086E67"/>
    <w:rsid w:val="00090B5B"/>
    <w:rsid w:val="00091FD5"/>
    <w:rsid w:val="00094898"/>
    <w:rsid w:val="00095550"/>
    <w:rsid w:val="00096C01"/>
    <w:rsid w:val="000971E5"/>
    <w:rsid w:val="00097433"/>
    <w:rsid w:val="000A09E7"/>
    <w:rsid w:val="000A21F4"/>
    <w:rsid w:val="000A4628"/>
    <w:rsid w:val="000A672A"/>
    <w:rsid w:val="000B0500"/>
    <w:rsid w:val="000B2125"/>
    <w:rsid w:val="000B2C1E"/>
    <w:rsid w:val="000B5780"/>
    <w:rsid w:val="000B68BF"/>
    <w:rsid w:val="000B768E"/>
    <w:rsid w:val="000C13D4"/>
    <w:rsid w:val="000C1A06"/>
    <w:rsid w:val="000C3EDB"/>
    <w:rsid w:val="000C4097"/>
    <w:rsid w:val="000C453F"/>
    <w:rsid w:val="000C4599"/>
    <w:rsid w:val="000C4AB1"/>
    <w:rsid w:val="000C5738"/>
    <w:rsid w:val="000C5A0F"/>
    <w:rsid w:val="000C72E6"/>
    <w:rsid w:val="000D024E"/>
    <w:rsid w:val="000D0C25"/>
    <w:rsid w:val="000D306B"/>
    <w:rsid w:val="000D3572"/>
    <w:rsid w:val="000D440E"/>
    <w:rsid w:val="000D5651"/>
    <w:rsid w:val="000D5A75"/>
    <w:rsid w:val="000D5B12"/>
    <w:rsid w:val="000D6525"/>
    <w:rsid w:val="000E0B4C"/>
    <w:rsid w:val="000E2581"/>
    <w:rsid w:val="000E30CD"/>
    <w:rsid w:val="000E42F8"/>
    <w:rsid w:val="000E4BE9"/>
    <w:rsid w:val="000E52AE"/>
    <w:rsid w:val="000E58C3"/>
    <w:rsid w:val="000E5FBA"/>
    <w:rsid w:val="000E624A"/>
    <w:rsid w:val="000E709F"/>
    <w:rsid w:val="000E78AF"/>
    <w:rsid w:val="000E7DDB"/>
    <w:rsid w:val="000F02C9"/>
    <w:rsid w:val="000F0E28"/>
    <w:rsid w:val="000F13CB"/>
    <w:rsid w:val="000F1D68"/>
    <w:rsid w:val="000F2911"/>
    <w:rsid w:val="000F4068"/>
    <w:rsid w:val="000F480C"/>
    <w:rsid w:val="00100406"/>
    <w:rsid w:val="0010048A"/>
    <w:rsid w:val="00100DC5"/>
    <w:rsid w:val="00101C28"/>
    <w:rsid w:val="0010210D"/>
    <w:rsid w:val="001039AE"/>
    <w:rsid w:val="0010562A"/>
    <w:rsid w:val="001062DD"/>
    <w:rsid w:val="0011082F"/>
    <w:rsid w:val="00112521"/>
    <w:rsid w:val="00113354"/>
    <w:rsid w:val="0011342D"/>
    <w:rsid w:val="00117450"/>
    <w:rsid w:val="00121E5E"/>
    <w:rsid w:val="00122FBC"/>
    <w:rsid w:val="00126515"/>
    <w:rsid w:val="0012743E"/>
    <w:rsid w:val="001310A1"/>
    <w:rsid w:val="00134AF7"/>
    <w:rsid w:val="00136F5D"/>
    <w:rsid w:val="0013763D"/>
    <w:rsid w:val="001402CC"/>
    <w:rsid w:val="001408B2"/>
    <w:rsid w:val="00141086"/>
    <w:rsid w:val="00141217"/>
    <w:rsid w:val="0014198E"/>
    <w:rsid w:val="0014293C"/>
    <w:rsid w:val="0014348A"/>
    <w:rsid w:val="00143805"/>
    <w:rsid w:val="001445F8"/>
    <w:rsid w:val="00146698"/>
    <w:rsid w:val="001469FA"/>
    <w:rsid w:val="00147446"/>
    <w:rsid w:val="001478B7"/>
    <w:rsid w:val="00147D5B"/>
    <w:rsid w:val="00150E3E"/>
    <w:rsid w:val="0015125A"/>
    <w:rsid w:val="00152FC7"/>
    <w:rsid w:val="001530EE"/>
    <w:rsid w:val="0015384F"/>
    <w:rsid w:val="00154754"/>
    <w:rsid w:val="00154F60"/>
    <w:rsid w:val="001560AC"/>
    <w:rsid w:val="00156FEE"/>
    <w:rsid w:val="00162C9C"/>
    <w:rsid w:val="00162F5B"/>
    <w:rsid w:val="00163A7A"/>
    <w:rsid w:val="00164D64"/>
    <w:rsid w:val="0016525B"/>
    <w:rsid w:val="00165726"/>
    <w:rsid w:val="001661C3"/>
    <w:rsid w:val="001663CE"/>
    <w:rsid w:val="00171EA3"/>
    <w:rsid w:val="0017653D"/>
    <w:rsid w:val="001770D3"/>
    <w:rsid w:val="00177A13"/>
    <w:rsid w:val="001816CF"/>
    <w:rsid w:val="00183142"/>
    <w:rsid w:val="00183DE0"/>
    <w:rsid w:val="001856A1"/>
    <w:rsid w:val="00185E4B"/>
    <w:rsid w:val="0018618F"/>
    <w:rsid w:val="00187537"/>
    <w:rsid w:val="001903EE"/>
    <w:rsid w:val="001916CF"/>
    <w:rsid w:val="00191C5A"/>
    <w:rsid w:val="00191EEB"/>
    <w:rsid w:val="00191FF3"/>
    <w:rsid w:val="00192346"/>
    <w:rsid w:val="001927FA"/>
    <w:rsid w:val="00193869"/>
    <w:rsid w:val="00193D19"/>
    <w:rsid w:val="00196700"/>
    <w:rsid w:val="00196BA7"/>
    <w:rsid w:val="00196E80"/>
    <w:rsid w:val="001A0B0F"/>
    <w:rsid w:val="001A1717"/>
    <w:rsid w:val="001A1974"/>
    <w:rsid w:val="001A1FAD"/>
    <w:rsid w:val="001A3236"/>
    <w:rsid w:val="001A6005"/>
    <w:rsid w:val="001A73D5"/>
    <w:rsid w:val="001A7BEE"/>
    <w:rsid w:val="001B130D"/>
    <w:rsid w:val="001B2819"/>
    <w:rsid w:val="001B37C9"/>
    <w:rsid w:val="001B6B4B"/>
    <w:rsid w:val="001B7DDD"/>
    <w:rsid w:val="001B7DF6"/>
    <w:rsid w:val="001C08B1"/>
    <w:rsid w:val="001C0DA8"/>
    <w:rsid w:val="001C2011"/>
    <w:rsid w:val="001C2703"/>
    <w:rsid w:val="001C3231"/>
    <w:rsid w:val="001C3E5F"/>
    <w:rsid w:val="001C4B99"/>
    <w:rsid w:val="001C52D3"/>
    <w:rsid w:val="001C6C7D"/>
    <w:rsid w:val="001C74F2"/>
    <w:rsid w:val="001C7913"/>
    <w:rsid w:val="001D0104"/>
    <w:rsid w:val="001D10B0"/>
    <w:rsid w:val="001D1133"/>
    <w:rsid w:val="001D2364"/>
    <w:rsid w:val="001D3FA4"/>
    <w:rsid w:val="001D4020"/>
    <w:rsid w:val="001D45A6"/>
    <w:rsid w:val="001D7C75"/>
    <w:rsid w:val="001E1782"/>
    <w:rsid w:val="001E1A19"/>
    <w:rsid w:val="001E1F69"/>
    <w:rsid w:val="001E2C7D"/>
    <w:rsid w:val="001E3FE2"/>
    <w:rsid w:val="001E3FEC"/>
    <w:rsid w:val="001E4111"/>
    <w:rsid w:val="001E54D3"/>
    <w:rsid w:val="001F0808"/>
    <w:rsid w:val="001F0DC2"/>
    <w:rsid w:val="001F0E27"/>
    <w:rsid w:val="001F0E40"/>
    <w:rsid w:val="001F2302"/>
    <w:rsid w:val="001F2D75"/>
    <w:rsid w:val="001F7DBC"/>
    <w:rsid w:val="002000AB"/>
    <w:rsid w:val="002006EA"/>
    <w:rsid w:val="002014BD"/>
    <w:rsid w:val="0020180C"/>
    <w:rsid w:val="002025B4"/>
    <w:rsid w:val="00203CBB"/>
    <w:rsid w:val="00207649"/>
    <w:rsid w:val="00210904"/>
    <w:rsid w:val="00212525"/>
    <w:rsid w:val="00212F07"/>
    <w:rsid w:val="00213DA8"/>
    <w:rsid w:val="00215807"/>
    <w:rsid w:val="0021649E"/>
    <w:rsid w:val="002174F5"/>
    <w:rsid w:val="00222CB9"/>
    <w:rsid w:val="002233E2"/>
    <w:rsid w:val="00223AF8"/>
    <w:rsid w:val="00223EEB"/>
    <w:rsid w:val="0022591F"/>
    <w:rsid w:val="00225AD5"/>
    <w:rsid w:val="002261D6"/>
    <w:rsid w:val="00227123"/>
    <w:rsid w:val="0022786F"/>
    <w:rsid w:val="002306F2"/>
    <w:rsid w:val="00231666"/>
    <w:rsid w:val="00232F35"/>
    <w:rsid w:val="0023616C"/>
    <w:rsid w:val="002368EF"/>
    <w:rsid w:val="00237C1D"/>
    <w:rsid w:val="00237FE7"/>
    <w:rsid w:val="002418AC"/>
    <w:rsid w:val="00242575"/>
    <w:rsid w:val="002436EF"/>
    <w:rsid w:val="00243864"/>
    <w:rsid w:val="002446CC"/>
    <w:rsid w:val="0024484C"/>
    <w:rsid w:val="00244C3F"/>
    <w:rsid w:val="00250ECA"/>
    <w:rsid w:val="00253956"/>
    <w:rsid w:val="00253EAB"/>
    <w:rsid w:val="0025515D"/>
    <w:rsid w:val="00255291"/>
    <w:rsid w:val="00255775"/>
    <w:rsid w:val="00255C44"/>
    <w:rsid w:val="0026428D"/>
    <w:rsid w:val="0026527F"/>
    <w:rsid w:val="0027028C"/>
    <w:rsid w:val="002707FD"/>
    <w:rsid w:val="00271E1A"/>
    <w:rsid w:val="00273787"/>
    <w:rsid w:val="002739EC"/>
    <w:rsid w:val="00273A27"/>
    <w:rsid w:val="00273A86"/>
    <w:rsid w:val="00274BB3"/>
    <w:rsid w:val="002759C1"/>
    <w:rsid w:val="00276BB8"/>
    <w:rsid w:val="00277119"/>
    <w:rsid w:val="00280207"/>
    <w:rsid w:val="00280963"/>
    <w:rsid w:val="0028143F"/>
    <w:rsid w:val="002822DA"/>
    <w:rsid w:val="00283904"/>
    <w:rsid w:val="00284590"/>
    <w:rsid w:val="00286B52"/>
    <w:rsid w:val="0029315E"/>
    <w:rsid w:val="00295C6C"/>
    <w:rsid w:val="002972FD"/>
    <w:rsid w:val="00297B8C"/>
    <w:rsid w:val="00297C69"/>
    <w:rsid w:val="002A04F5"/>
    <w:rsid w:val="002A0D1D"/>
    <w:rsid w:val="002A1C56"/>
    <w:rsid w:val="002A1D37"/>
    <w:rsid w:val="002A3656"/>
    <w:rsid w:val="002A40C6"/>
    <w:rsid w:val="002A4C8C"/>
    <w:rsid w:val="002B1F6E"/>
    <w:rsid w:val="002B2521"/>
    <w:rsid w:val="002B5DC1"/>
    <w:rsid w:val="002B7098"/>
    <w:rsid w:val="002B7B2D"/>
    <w:rsid w:val="002B7BA0"/>
    <w:rsid w:val="002C008B"/>
    <w:rsid w:val="002C4C99"/>
    <w:rsid w:val="002C5CD2"/>
    <w:rsid w:val="002C6003"/>
    <w:rsid w:val="002C6024"/>
    <w:rsid w:val="002C759C"/>
    <w:rsid w:val="002D1AB6"/>
    <w:rsid w:val="002D23CC"/>
    <w:rsid w:val="002D261F"/>
    <w:rsid w:val="002D2862"/>
    <w:rsid w:val="002D3254"/>
    <w:rsid w:val="002D3C34"/>
    <w:rsid w:val="002D3F1A"/>
    <w:rsid w:val="002D4F13"/>
    <w:rsid w:val="002D5B8A"/>
    <w:rsid w:val="002D5F04"/>
    <w:rsid w:val="002D6413"/>
    <w:rsid w:val="002D7404"/>
    <w:rsid w:val="002E1A51"/>
    <w:rsid w:val="002E1B8F"/>
    <w:rsid w:val="002E4C97"/>
    <w:rsid w:val="002E7069"/>
    <w:rsid w:val="002F09C2"/>
    <w:rsid w:val="002F46EE"/>
    <w:rsid w:val="002F480A"/>
    <w:rsid w:val="002F4DDE"/>
    <w:rsid w:val="002F5384"/>
    <w:rsid w:val="003025E6"/>
    <w:rsid w:val="003060D2"/>
    <w:rsid w:val="00306F42"/>
    <w:rsid w:val="00306F9F"/>
    <w:rsid w:val="00311414"/>
    <w:rsid w:val="003128B4"/>
    <w:rsid w:val="00313569"/>
    <w:rsid w:val="00314BC8"/>
    <w:rsid w:val="003157D4"/>
    <w:rsid w:val="00316168"/>
    <w:rsid w:val="00320652"/>
    <w:rsid w:val="003210B7"/>
    <w:rsid w:val="00324321"/>
    <w:rsid w:val="003260E2"/>
    <w:rsid w:val="00326B7A"/>
    <w:rsid w:val="003301C8"/>
    <w:rsid w:val="003305E9"/>
    <w:rsid w:val="00331D08"/>
    <w:rsid w:val="00331FAA"/>
    <w:rsid w:val="00333F00"/>
    <w:rsid w:val="00334343"/>
    <w:rsid w:val="003348D0"/>
    <w:rsid w:val="00334FF4"/>
    <w:rsid w:val="00335960"/>
    <w:rsid w:val="00335DE2"/>
    <w:rsid w:val="003369EC"/>
    <w:rsid w:val="00337ADF"/>
    <w:rsid w:val="00340861"/>
    <w:rsid w:val="00340A70"/>
    <w:rsid w:val="00342DB8"/>
    <w:rsid w:val="003445B9"/>
    <w:rsid w:val="00345E70"/>
    <w:rsid w:val="0034646F"/>
    <w:rsid w:val="00347148"/>
    <w:rsid w:val="00347D0C"/>
    <w:rsid w:val="00350453"/>
    <w:rsid w:val="00351182"/>
    <w:rsid w:val="003521C2"/>
    <w:rsid w:val="00354705"/>
    <w:rsid w:val="00355140"/>
    <w:rsid w:val="00356506"/>
    <w:rsid w:val="00356DD8"/>
    <w:rsid w:val="00356E6B"/>
    <w:rsid w:val="00357593"/>
    <w:rsid w:val="003623D2"/>
    <w:rsid w:val="003624E0"/>
    <w:rsid w:val="00363779"/>
    <w:rsid w:val="00363862"/>
    <w:rsid w:val="00366F55"/>
    <w:rsid w:val="0036768C"/>
    <w:rsid w:val="00371507"/>
    <w:rsid w:val="00371688"/>
    <w:rsid w:val="003718B8"/>
    <w:rsid w:val="0037374E"/>
    <w:rsid w:val="00373D5A"/>
    <w:rsid w:val="003755B6"/>
    <w:rsid w:val="00376769"/>
    <w:rsid w:val="003773F2"/>
    <w:rsid w:val="00380C0F"/>
    <w:rsid w:val="00380F3B"/>
    <w:rsid w:val="003817AA"/>
    <w:rsid w:val="00382DFF"/>
    <w:rsid w:val="00383B7A"/>
    <w:rsid w:val="00384495"/>
    <w:rsid w:val="003863F8"/>
    <w:rsid w:val="00386F25"/>
    <w:rsid w:val="00393321"/>
    <w:rsid w:val="00393EE9"/>
    <w:rsid w:val="00394338"/>
    <w:rsid w:val="0039443D"/>
    <w:rsid w:val="00394710"/>
    <w:rsid w:val="0039485A"/>
    <w:rsid w:val="00395811"/>
    <w:rsid w:val="00395AFE"/>
    <w:rsid w:val="00395D24"/>
    <w:rsid w:val="00395E45"/>
    <w:rsid w:val="00397E41"/>
    <w:rsid w:val="003A04EA"/>
    <w:rsid w:val="003A080E"/>
    <w:rsid w:val="003A17C8"/>
    <w:rsid w:val="003A222B"/>
    <w:rsid w:val="003A3D89"/>
    <w:rsid w:val="003A5487"/>
    <w:rsid w:val="003A57C0"/>
    <w:rsid w:val="003A77B5"/>
    <w:rsid w:val="003A7BA6"/>
    <w:rsid w:val="003B33AF"/>
    <w:rsid w:val="003B4B3A"/>
    <w:rsid w:val="003B4F57"/>
    <w:rsid w:val="003B53B5"/>
    <w:rsid w:val="003B6297"/>
    <w:rsid w:val="003B67DE"/>
    <w:rsid w:val="003B71E4"/>
    <w:rsid w:val="003B768A"/>
    <w:rsid w:val="003B7ABD"/>
    <w:rsid w:val="003C1A5B"/>
    <w:rsid w:val="003C22E9"/>
    <w:rsid w:val="003C2EF1"/>
    <w:rsid w:val="003C4127"/>
    <w:rsid w:val="003C44BC"/>
    <w:rsid w:val="003C7E0F"/>
    <w:rsid w:val="003D185D"/>
    <w:rsid w:val="003D1CF7"/>
    <w:rsid w:val="003D1E13"/>
    <w:rsid w:val="003D2074"/>
    <w:rsid w:val="003D276D"/>
    <w:rsid w:val="003D3A12"/>
    <w:rsid w:val="003D3D61"/>
    <w:rsid w:val="003D4C05"/>
    <w:rsid w:val="003D4E24"/>
    <w:rsid w:val="003D5CAE"/>
    <w:rsid w:val="003E0996"/>
    <w:rsid w:val="003E37D5"/>
    <w:rsid w:val="003E3D3D"/>
    <w:rsid w:val="003E40BE"/>
    <w:rsid w:val="003F179C"/>
    <w:rsid w:val="003F51FA"/>
    <w:rsid w:val="003F54AD"/>
    <w:rsid w:val="003F5C2A"/>
    <w:rsid w:val="003F64D9"/>
    <w:rsid w:val="00400C5B"/>
    <w:rsid w:val="00401221"/>
    <w:rsid w:val="00402C73"/>
    <w:rsid w:val="00405D86"/>
    <w:rsid w:val="00406019"/>
    <w:rsid w:val="00406E0D"/>
    <w:rsid w:val="00407BC2"/>
    <w:rsid w:val="00410178"/>
    <w:rsid w:val="00410884"/>
    <w:rsid w:val="00410CEF"/>
    <w:rsid w:val="00410FD9"/>
    <w:rsid w:val="004115E2"/>
    <w:rsid w:val="00413468"/>
    <w:rsid w:val="0041500D"/>
    <w:rsid w:val="00415544"/>
    <w:rsid w:val="00416009"/>
    <w:rsid w:val="00416B30"/>
    <w:rsid w:val="00416BF6"/>
    <w:rsid w:val="0041764E"/>
    <w:rsid w:val="00417E83"/>
    <w:rsid w:val="004204E4"/>
    <w:rsid w:val="00421655"/>
    <w:rsid w:val="00421E8E"/>
    <w:rsid w:val="004224E2"/>
    <w:rsid w:val="00423466"/>
    <w:rsid w:val="00424CD4"/>
    <w:rsid w:val="004264DE"/>
    <w:rsid w:val="00426B53"/>
    <w:rsid w:val="0043054C"/>
    <w:rsid w:val="00430F4D"/>
    <w:rsid w:val="00436244"/>
    <w:rsid w:val="004416FE"/>
    <w:rsid w:val="00441FFC"/>
    <w:rsid w:val="0044250B"/>
    <w:rsid w:val="00443289"/>
    <w:rsid w:val="00443D4C"/>
    <w:rsid w:val="00445D43"/>
    <w:rsid w:val="00446108"/>
    <w:rsid w:val="004470EB"/>
    <w:rsid w:val="004478FD"/>
    <w:rsid w:val="00447CD5"/>
    <w:rsid w:val="0045193C"/>
    <w:rsid w:val="004530E2"/>
    <w:rsid w:val="0045386C"/>
    <w:rsid w:val="00454434"/>
    <w:rsid w:val="00454C28"/>
    <w:rsid w:val="00454DFB"/>
    <w:rsid w:val="00456156"/>
    <w:rsid w:val="00457693"/>
    <w:rsid w:val="0045799C"/>
    <w:rsid w:val="00457C03"/>
    <w:rsid w:val="00460C79"/>
    <w:rsid w:val="004629E0"/>
    <w:rsid w:val="00462B1E"/>
    <w:rsid w:val="00462E42"/>
    <w:rsid w:val="00463443"/>
    <w:rsid w:val="00464ADE"/>
    <w:rsid w:val="00465B4D"/>
    <w:rsid w:val="00466615"/>
    <w:rsid w:val="004674FA"/>
    <w:rsid w:val="0047180E"/>
    <w:rsid w:val="00471E1C"/>
    <w:rsid w:val="00471E45"/>
    <w:rsid w:val="004723E3"/>
    <w:rsid w:val="00472951"/>
    <w:rsid w:val="0047296D"/>
    <w:rsid w:val="00474642"/>
    <w:rsid w:val="00481007"/>
    <w:rsid w:val="00484A6F"/>
    <w:rsid w:val="00484E91"/>
    <w:rsid w:val="004851F2"/>
    <w:rsid w:val="004862C3"/>
    <w:rsid w:val="00487ADE"/>
    <w:rsid w:val="0049010C"/>
    <w:rsid w:val="00490399"/>
    <w:rsid w:val="00490F35"/>
    <w:rsid w:val="00491CCD"/>
    <w:rsid w:val="0049534F"/>
    <w:rsid w:val="00495E87"/>
    <w:rsid w:val="00496516"/>
    <w:rsid w:val="00496649"/>
    <w:rsid w:val="004A2997"/>
    <w:rsid w:val="004A384B"/>
    <w:rsid w:val="004A5561"/>
    <w:rsid w:val="004A67B5"/>
    <w:rsid w:val="004A716A"/>
    <w:rsid w:val="004A77E7"/>
    <w:rsid w:val="004B00CC"/>
    <w:rsid w:val="004B0881"/>
    <w:rsid w:val="004B12CF"/>
    <w:rsid w:val="004B18A5"/>
    <w:rsid w:val="004B309E"/>
    <w:rsid w:val="004B42BB"/>
    <w:rsid w:val="004B48C1"/>
    <w:rsid w:val="004B6855"/>
    <w:rsid w:val="004B7D31"/>
    <w:rsid w:val="004C008D"/>
    <w:rsid w:val="004C0DC5"/>
    <w:rsid w:val="004C333F"/>
    <w:rsid w:val="004C35D1"/>
    <w:rsid w:val="004C4E4B"/>
    <w:rsid w:val="004C576A"/>
    <w:rsid w:val="004C59DD"/>
    <w:rsid w:val="004C5CA0"/>
    <w:rsid w:val="004C65A8"/>
    <w:rsid w:val="004C765F"/>
    <w:rsid w:val="004D0DB8"/>
    <w:rsid w:val="004D229C"/>
    <w:rsid w:val="004D4633"/>
    <w:rsid w:val="004D5E1F"/>
    <w:rsid w:val="004D66F5"/>
    <w:rsid w:val="004D6E7F"/>
    <w:rsid w:val="004D7357"/>
    <w:rsid w:val="004E0E8F"/>
    <w:rsid w:val="004E35CC"/>
    <w:rsid w:val="004E4F2B"/>
    <w:rsid w:val="004E675C"/>
    <w:rsid w:val="004E6A63"/>
    <w:rsid w:val="004E703E"/>
    <w:rsid w:val="004E7657"/>
    <w:rsid w:val="004E7B28"/>
    <w:rsid w:val="004F363A"/>
    <w:rsid w:val="004F3868"/>
    <w:rsid w:val="004F40C0"/>
    <w:rsid w:val="004F485B"/>
    <w:rsid w:val="004F697F"/>
    <w:rsid w:val="004F6EC1"/>
    <w:rsid w:val="0050114F"/>
    <w:rsid w:val="00501B56"/>
    <w:rsid w:val="0050236B"/>
    <w:rsid w:val="005043C9"/>
    <w:rsid w:val="00507A45"/>
    <w:rsid w:val="00507C7E"/>
    <w:rsid w:val="00507F8B"/>
    <w:rsid w:val="005102FF"/>
    <w:rsid w:val="00514C55"/>
    <w:rsid w:val="00516DDC"/>
    <w:rsid w:val="005209B5"/>
    <w:rsid w:val="00520A3A"/>
    <w:rsid w:val="00521611"/>
    <w:rsid w:val="005228B0"/>
    <w:rsid w:val="00522DD4"/>
    <w:rsid w:val="0052490F"/>
    <w:rsid w:val="0052580D"/>
    <w:rsid w:val="0052623F"/>
    <w:rsid w:val="0053059D"/>
    <w:rsid w:val="00530635"/>
    <w:rsid w:val="005325D9"/>
    <w:rsid w:val="00534566"/>
    <w:rsid w:val="00535B6D"/>
    <w:rsid w:val="00536582"/>
    <w:rsid w:val="00536A1D"/>
    <w:rsid w:val="00537335"/>
    <w:rsid w:val="00537DC1"/>
    <w:rsid w:val="00540C24"/>
    <w:rsid w:val="00542153"/>
    <w:rsid w:val="00542344"/>
    <w:rsid w:val="00542EB7"/>
    <w:rsid w:val="0054379F"/>
    <w:rsid w:val="00544DC2"/>
    <w:rsid w:val="00550BC9"/>
    <w:rsid w:val="00551F9B"/>
    <w:rsid w:val="0055392D"/>
    <w:rsid w:val="00556A14"/>
    <w:rsid w:val="0055735A"/>
    <w:rsid w:val="00560FA0"/>
    <w:rsid w:val="00561D93"/>
    <w:rsid w:val="005635F5"/>
    <w:rsid w:val="00564B43"/>
    <w:rsid w:val="00564BAE"/>
    <w:rsid w:val="00566767"/>
    <w:rsid w:val="00567507"/>
    <w:rsid w:val="0056751B"/>
    <w:rsid w:val="00570E0D"/>
    <w:rsid w:val="005725EF"/>
    <w:rsid w:val="00574ED8"/>
    <w:rsid w:val="0057555A"/>
    <w:rsid w:val="0057650A"/>
    <w:rsid w:val="005765E9"/>
    <w:rsid w:val="005800DF"/>
    <w:rsid w:val="005813C9"/>
    <w:rsid w:val="005849BA"/>
    <w:rsid w:val="0058543E"/>
    <w:rsid w:val="005870A7"/>
    <w:rsid w:val="0059394B"/>
    <w:rsid w:val="00593E55"/>
    <w:rsid w:val="00595308"/>
    <w:rsid w:val="005958C6"/>
    <w:rsid w:val="00595F81"/>
    <w:rsid w:val="00596C00"/>
    <w:rsid w:val="005A0FA7"/>
    <w:rsid w:val="005A1220"/>
    <w:rsid w:val="005A15C1"/>
    <w:rsid w:val="005A215E"/>
    <w:rsid w:val="005A226C"/>
    <w:rsid w:val="005A3A91"/>
    <w:rsid w:val="005A61EF"/>
    <w:rsid w:val="005A7620"/>
    <w:rsid w:val="005B033B"/>
    <w:rsid w:val="005B2A06"/>
    <w:rsid w:val="005B2AD6"/>
    <w:rsid w:val="005B2F82"/>
    <w:rsid w:val="005B3573"/>
    <w:rsid w:val="005B3915"/>
    <w:rsid w:val="005B63D5"/>
    <w:rsid w:val="005B6D34"/>
    <w:rsid w:val="005C05DC"/>
    <w:rsid w:val="005C0637"/>
    <w:rsid w:val="005C16D5"/>
    <w:rsid w:val="005C2EE7"/>
    <w:rsid w:val="005C32B1"/>
    <w:rsid w:val="005C38F5"/>
    <w:rsid w:val="005C7B06"/>
    <w:rsid w:val="005D06B9"/>
    <w:rsid w:val="005D2377"/>
    <w:rsid w:val="005D3F43"/>
    <w:rsid w:val="005D5B51"/>
    <w:rsid w:val="005E2B31"/>
    <w:rsid w:val="005E4278"/>
    <w:rsid w:val="005E4E24"/>
    <w:rsid w:val="005E784B"/>
    <w:rsid w:val="005F180C"/>
    <w:rsid w:val="005F2A2C"/>
    <w:rsid w:val="005F2BEE"/>
    <w:rsid w:val="005F3F4A"/>
    <w:rsid w:val="005F5B88"/>
    <w:rsid w:val="005F6A8F"/>
    <w:rsid w:val="00600AC2"/>
    <w:rsid w:val="00600B28"/>
    <w:rsid w:val="006017F6"/>
    <w:rsid w:val="00602EE0"/>
    <w:rsid w:val="0060516C"/>
    <w:rsid w:val="006051AF"/>
    <w:rsid w:val="006077D5"/>
    <w:rsid w:val="00612327"/>
    <w:rsid w:val="006127BC"/>
    <w:rsid w:val="0061282F"/>
    <w:rsid w:val="00614A7E"/>
    <w:rsid w:val="00614F59"/>
    <w:rsid w:val="0061553A"/>
    <w:rsid w:val="00615E02"/>
    <w:rsid w:val="0061606F"/>
    <w:rsid w:val="00617365"/>
    <w:rsid w:val="0062063C"/>
    <w:rsid w:val="00620D6A"/>
    <w:rsid w:val="0062150F"/>
    <w:rsid w:val="00621517"/>
    <w:rsid w:val="00623471"/>
    <w:rsid w:val="00623D11"/>
    <w:rsid w:val="0062461F"/>
    <w:rsid w:val="00624E61"/>
    <w:rsid w:val="00625A4E"/>
    <w:rsid w:val="00625C39"/>
    <w:rsid w:val="006262D2"/>
    <w:rsid w:val="0062652F"/>
    <w:rsid w:val="00626F35"/>
    <w:rsid w:val="00627001"/>
    <w:rsid w:val="0063047C"/>
    <w:rsid w:val="006305A4"/>
    <w:rsid w:val="0063140D"/>
    <w:rsid w:val="00631B72"/>
    <w:rsid w:val="0063310E"/>
    <w:rsid w:val="006335C0"/>
    <w:rsid w:val="006336D7"/>
    <w:rsid w:val="006340B0"/>
    <w:rsid w:val="00636C15"/>
    <w:rsid w:val="00637F8A"/>
    <w:rsid w:val="00640912"/>
    <w:rsid w:val="00640F85"/>
    <w:rsid w:val="00641236"/>
    <w:rsid w:val="00641476"/>
    <w:rsid w:val="00642125"/>
    <w:rsid w:val="006423F3"/>
    <w:rsid w:val="00642B23"/>
    <w:rsid w:val="00642EBF"/>
    <w:rsid w:val="00643E60"/>
    <w:rsid w:val="0064423B"/>
    <w:rsid w:val="00650462"/>
    <w:rsid w:val="0065104D"/>
    <w:rsid w:val="006510DC"/>
    <w:rsid w:val="006526E7"/>
    <w:rsid w:val="00653229"/>
    <w:rsid w:val="0065403B"/>
    <w:rsid w:val="0065519D"/>
    <w:rsid w:val="0065590C"/>
    <w:rsid w:val="0065606A"/>
    <w:rsid w:val="00657BE8"/>
    <w:rsid w:val="00661AC1"/>
    <w:rsid w:val="006649DE"/>
    <w:rsid w:val="00664F7C"/>
    <w:rsid w:val="00666E14"/>
    <w:rsid w:val="00667032"/>
    <w:rsid w:val="0067011D"/>
    <w:rsid w:val="00670FBF"/>
    <w:rsid w:val="00671A26"/>
    <w:rsid w:val="00671F0B"/>
    <w:rsid w:val="006728EA"/>
    <w:rsid w:val="00673560"/>
    <w:rsid w:val="00677EAD"/>
    <w:rsid w:val="00681614"/>
    <w:rsid w:val="00685164"/>
    <w:rsid w:val="006861D7"/>
    <w:rsid w:val="00687123"/>
    <w:rsid w:val="0069005B"/>
    <w:rsid w:val="00690418"/>
    <w:rsid w:val="00691211"/>
    <w:rsid w:val="0069154F"/>
    <w:rsid w:val="00693620"/>
    <w:rsid w:val="006953FD"/>
    <w:rsid w:val="00695417"/>
    <w:rsid w:val="006954BB"/>
    <w:rsid w:val="00696002"/>
    <w:rsid w:val="0069687A"/>
    <w:rsid w:val="00697E52"/>
    <w:rsid w:val="006A0648"/>
    <w:rsid w:val="006A0BE5"/>
    <w:rsid w:val="006A12E6"/>
    <w:rsid w:val="006A1731"/>
    <w:rsid w:val="006A44D8"/>
    <w:rsid w:val="006A48C0"/>
    <w:rsid w:val="006A695A"/>
    <w:rsid w:val="006A7ABC"/>
    <w:rsid w:val="006B1852"/>
    <w:rsid w:val="006B1A78"/>
    <w:rsid w:val="006B1D92"/>
    <w:rsid w:val="006B20F1"/>
    <w:rsid w:val="006B371B"/>
    <w:rsid w:val="006B62CC"/>
    <w:rsid w:val="006B64DF"/>
    <w:rsid w:val="006B6CB0"/>
    <w:rsid w:val="006B7554"/>
    <w:rsid w:val="006C2A75"/>
    <w:rsid w:val="006C2FAA"/>
    <w:rsid w:val="006C3DB9"/>
    <w:rsid w:val="006C3ECB"/>
    <w:rsid w:val="006C491E"/>
    <w:rsid w:val="006C4DE7"/>
    <w:rsid w:val="006C5406"/>
    <w:rsid w:val="006C5421"/>
    <w:rsid w:val="006C5555"/>
    <w:rsid w:val="006C60E0"/>
    <w:rsid w:val="006C744A"/>
    <w:rsid w:val="006D011C"/>
    <w:rsid w:val="006D2607"/>
    <w:rsid w:val="006D3271"/>
    <w:rsid w:val="006D4B1A"/>
    <w:rsid w:val="006D4D58"/>
    <w:rsid w:val="006D594B"/>
    <w:rsid w:val="006D605B"/>
    <w:rsid w:val="006D764A"/>
    <w:rsid w:val="006E077A"/>
    <w:rsid w:val="006E0A93"/>
    <w:rsid w:val="006E0E3B"/>
    <w:rsid w:val="006E1C80"/>
    <w:rsid w:val="006E462C"/>
    <w:rsid w:val="006E49B9"/>
    <w:rsid w:val="006E57C4"/>
    <w:rsid w:val="006E5E3E"/>
    <w:rsid w:val="006E6745"/>
    <w:rsid w:val="006E6A97"/>
    <w:rsid w:val="006F151A"/>
    <w:rsid w:val="006F1E80"/>
    <w:rsid w:val="006F3163"/>
    <w:rsid w:val="006F3C82"/>
    <w:rsid w:val="006F3D2C"/>
    <w:rsid w:val="006F5487"/>
    <w:rsid w:val="006F656C"/>
    <w:rsid w:val="00701124"/>
    <w:rsid w:val="00701685"/>
    <w:rsid w:val="007020E8"/>
    <w:rsid w:val="00702261"/>
    <w:rsid w:val="007058AB"/>
    <w:rsid w:val="00706EB2"/>
    <w:rsid w:val="007117FC"/>
    <w:rsid w:val="00711B3B"/>
    <w:rsid w:val="00711F17"/>
    <w:rsid w:val="007126FB"/>
    <w:rsid w:val="00714EBF"/>
    <w:rsid w:val="00714FBB"/>
    <w:rsid w:val="0071597F"/>
    <w:rsid w:val="00715BDD"/>
    <w:rsid w:val="0072106D"/>
    <w:rsid w:val="007216FF"/>
    <w:rsid w:val="007229BE"/>
    <w:rsid w:val="00722B5E"/>
    <w:rsid w:val="00723832"/>
    <w:rsid w:val="007252C1"/>
    <w:rsid w:val="00726960"/>
    <w:rsid w:val="007305D5"/>
    <w:rsid w:val="00731DB9"/>
    <w:rsid w:val="00732126"/>
    <w:rsid w:val="00732870"/>
    <w:rsid w:val="00732952"/>
    <w:rsid w:val="00733537"/>
    <w:rsid w:val="00734942"/>
    <w:rsid w:val="0073555D"/>
    <w:rsid w:val="00736B3D"/>
    <w:rsid w:val="00736E0C"/>
    <w:rsid w:val="00737A01"/>
    <w:rsid w:val="00742750"/>
    <w:rsid w:val="00743E14"/>
    <w:rsid w:val="00746EAE"/>
    <w:rsid w:val="00747CDA"/>
    <w:rsid w:val="00750E6D"/>
    <w:rsid w:val="007522E6"/>
    <w:rsid w:val="00752CFF"/>
    <w:rsid w:val="007550F6"/>
    <w:rsid w:val="00755AF1"/>
    <w:rsid w:val="007564B2"/>
    <w:rsid w:val="00757779"/>
    <w:rsid w:val="007577FF"/>
    <w:rsid w:val="0076031A"/>
    <w:rsid w:val="00760519"/>
    <w:rsid w:val="007607F7"/>
    <w:rsid w:val="00760D78"/>
    <w:rsid w:val="00760FAC"/>
    <w:rsid w:val="00761064"/>
    <w:rsid w:val="00761C0E"/>
    <w:rsid w:val="00761FE5"/>
    <w:rsid w:val="00763189"/>
    <w:rsid w:val="00763A83"/>
    <w:rsid w:val="0076413A"/>
    <w:rsid w:val="00764388"/>
    <w:rsid w:val="007646B9"/>
    <w:rsid w:val="00764EB4"/>
    <w:rsid w:val="00767EB3"/>
    <w:rsid w:val="007703B0"/>
    <w:rsid w:val="00773ABA"/>
    <w:rsid w:val="00775810"/>
    <w:rsid w:val="00775972"/>
    <w:rsid w:val="0077614F"/>
    <w:rsid w:val="00776A71"/>
    <w:rsid w:val="00776C86"/>
    <w:rsid w:val="007802AB"/>
    <w:rsid w:val="0078140F"/>
    <w:rsid w:val="0078157B"/>
    <w:rsid w:val="007820C7"/>
    <w:rsid w:val="0078290A"/>
    <w:rsid w:val="00783C32"/>
    <w:rsid w:val="0078497A"/>
    <w:rsid w:val="0078551F"/>
    <w:rsid w:val="00785A35"/>
    <w:rsid w:val="007866E8"/>
    <w:rsid w:val="00787B87"/>
    <w:rsid w:val="0079718A"/>
    <w:rsid w:val="00797344"/>
    <w:rsid w:val="007A45FB"/>
    <w:rsid w:val="007A4A94"/>
    <w:rsid w:val="007A58EC"/>
    <w:rsid w:val="007A6C81"/>
    <w:rsid w:val="007A705F"/>
    <w:rsid w:val="007A7820"/>
    <w:rsid w:val="007B1EB3"/>
    <w:rsid w:val="007B445B"/>
    <w:rsid w:val="007B4525"/>
    <w:rsid w:val="007B705F"/>
    <w:rsid w:val="007C0A1B"/>
    <w:rsid w:val="007C227D"/>
    <w:rsid w:val="007C25F6"/>
    <w:rsid w:val="007C2C3E"/>
    <w:rsid w:val="007C2EEF"/>
    <w:rsid w:val="007C2F7E"/>
    <w:rsid w:val="007C65BC"/>
    <w:rsid w:val="007C6C12"/>
    <w:rsid w:val="007C71E2"/>
    <w:rsid w:val="007C747F"/>
    <w:rsid w:val="007D000A"/>
    <w:rsid w:val="007D2337"/>
    <w:rsid w:val="007D3028"/>
    <w:rsid w:val="007D4EC5"/>
    <w:rsid w:val="007D5875"/>
    <w:rsid w:val="007D66A9"/>
    <w:rsid w:val="007D70B2"/>
    <w:rsid w:val="007E02B8"/>
    <w:rsid w:val="007E0A34"/>
    <w:rsid w:val="007E1914"/>
    <w:rsid w:val="007E2C34"/>
    <w:rsid w:val="007E3415"/>
    <w:rsid w:val="007E343F"/>
    <w:rsid w:val="007E418F"/>
    <w:rsid w:val="007E486D"/>
    <w:rsid w:val="007E6D0F"/>
    <w:rsid w:val="007E7D5B"/>
    <w:rsid w:val="007F063D"/>
    <w:rsid w:val="007F1E05"/>
    <w:rsid w:val="007F229D"/>
    <w:rsid w:val="007F2874"/>
    <w:rsid w:val="007F4A6B"/>
    <w:rsid w:val="007F7164"/>
    <w:rsid w:val="007F7AD6"/>
    <w:rsid w:val="008000D4"/>
    <w:rsid w:val="008010A2"/>
    <w:rsid w:val="00801CB1"/>
    <w:rsid w:val="00801CFF"/>
    <w:rsid w:val="008020D3"/>
    <w:rsid w:val="00803165"/>
    <w:rsid w:val="008060EE"/>
    <w:rsid w:val="00806159"/>
    <w:rsid w:val="00806D95"/>
    <w:rsid w:val="00807B61"/>
    <w:rsid w:val="008108B3"/>
    <w:rsid w:val="00811801"/>
    <w:rsid w:val="0081301D"/>
    <w:rsid w:val="008153E2"/>
    <w:rsid w:val="00817231"/>
    <w:rsid w:val="00817916"/>
    <w:rsid w:val="00820017"/>
    <w:rsid w:val="00820ADF"/>
    <w:rsid w:val="00820D8C"/>
    <w:rsid w:val="00821EAB"/>
    <w:rsid w:val="00822150"/>
    <w:rsid w:val="008234E8"/>
    <w:rsid w:val="0082442A"/>
    <w:rsid w:val="00824893"/>
    <w:rsid w:val="00824FA4"/>
    <w:rsid w:val="00825E60"/>
    <w:rsid w:val="008266E2"/>
    <w:rsid w:val="00827194"/>
    <w:rsid w:val="008276D6"/>
    <w:rsid w:val="0083104A"/>
    <w:rsid w:val="00833DD6"/>
    <w:rsid w:val="008367A8"/>
    <w:rsid w:val="008402BC"/>
    <w:rsid w:val="00840C43"/>
    <w:rsid w:val="00840F0E"/>
    <w:rsid w:val="008416F8"/>
    <w:rsid w:val="00841AD9"/>
    <w:rsid w:val="0084240E"/>
    <w:rsid w:val="00842EED"/>
    <w:rsid w:val="008449E7"/>
    <w:rsid w:val="00845CE3"/>
    <w:rsid w:val="00846792"/>
    <w:rsid w:val="00846D32"/>
    <w:rsid w:val="008478D0"/>
    <w:rsid w:val="00847EC6"/>
    <w:rsid w:val="008513F6"/>
    <w:rsid w:val="00853B16"/>
    <w:rsid w:val="00853FCD"/>
    <w:rsid w:val="00854FC5"/>
    <w:rsid w:val="00855825"/>
    <w:rsid w:val="00856AE0"/>
    <w:rsid w:val="008607D2"/>
    <w:rsid w:val="008611C9"/>
    <w:rsid w:val="008612AB"/>
    <w:rsid w:val="00861E52"/>
    <w:rsid w:val="0086229E"/>
    <w:rsid w:val="008634DC"/>
    <w:rsid w:val="00863857"/>
    <w:rsid w:val="00864D84"/>
    <w:rsid w:val="00865999"/>
    <w:rsid w:val="0086737C"/>
    <w:rsid w:val="00867C8E"/>
    <w:rsid w:val="00872426"/>
    <w:rsid w:val="00873448"/>
    <w:rsid w:val="00873A3D"/>
    <w:rsid w:val="00873D63"/>
    <w:rsid w:val="00875731"/>
    <w:rsid w:val="00875738"/>
    <w:rsid w:val="00875E21"/>
    <w:rsid w:val="00876CAA"/>
    <w:rsid w:val="008774E5"/>
    <w:rsid w:val="008818B2"/>
    <w:rsid w:val="00882301"/>
    <w:rsid w:val="00882E6D"/>
    <w:rsid w:val="008831C5"/>
    <w:rsid w:val="008835CB"/>
    <w:rsid w:val="0088449B"/>
    <w:rsid w:val="00885310"/>
    <w:rsid w:val="00886987"/>
    <w:rsid w:val="0088770A"/>
    <w:rsid w:val="00890A75"/>
    <w:rsid w:val="00890B03"/>
    <w:rsid w:val="00891A4A"/>
    <w:rsid w:val="008928CA"/>
    <w:rsid w:val="00892BFA"/>
    <w:rsid w:val="00892D52"/>
    <w:rsid w:val="00895C87"/>
    <w:rsid w:val="0089678A"/>
    <w:rsid w:val="00896882"/>
    <w:rsid w:val="008A061C"/>
    <w:rsid w:val="008A0738"/>
    <w:rsid w:val="008A3443"/>
    <w:rsid w:val="008A4418"/>
    <w:rsid w:val="008A4EE3"/>
    <w:rsid w:val="008A5DE0"/>
    <w:rsid w:val="008A60C7"/>
    <w:rsid w:val="008A7402"/>
    <w:rsid w:val="008B1418"/>
    <w:rsid w:val="008B346D"/>
    <w:rsid w:val="008B37D0"/>
    <w:rsid w:val="008B4F47"/>
    <w:rsid w:val="008B514E"/>
    <w:rsid w:val="008B570E"/>
    <w:rsid w:val="008B58D1"/>
    <w:rsid w:val="008B63AC"/>
    <w:rsid w:val="008C0E9A"/>
    <w:rsid w:val="008C1850"/>
    <w:rsid w:val="008C2947"/>
    <w:rsid w:val="008C425B"/>
    <w:rsid w:val="008C4640"/>
    <w:rsid w:val="008C505C"/>
    <w:rsid w:val="008D1271"/>
    <w:rsid w:val="008D131D"/>
    <w:rsid w:val="008D614F"/>
    <w:rsid w:val="008D7D1E"/>
    <w:rsid w:val="008E0A6B"/>
    <w:rsid w:val="008E117B"/>
    <w:rsid w:val="008E154E"/>
    <w:rsid w:val="008E1E1E"/>
    <w:rsid w:val="008E5DEB"/>
    <w:rsid w:val="008F006A"/>
    <w:rsid w:val="008F21B9"/>
    <w:rsid w:val="008F3E8D"/>
    <w:rsid w:val="008F4107"/>
    <w:rsid w:val="008F43F6"/>
    <w:rsid w:val="008F5D9E"/>
    <w:rsid w:val="008F7F63"/>
    <w:rsid w:val="00900732"/>
    <w:rsid w:val="009014D8"/>
    <w:rsid w:val="009019A2"/>
    <w:rsid w:val="00901F81"/>
    <w:rsid w:val="00903763"/>
    <w:rsid w:val="009043FF"/>
    <w:rsid w:val="0090456C"/>
    <w:rsid w:val="00904DC0"/>
    <w:rsid w:val="00905D8F"/>
    <w:rsid w:val="00907148"/>
    <w:rsid w:val="0090779A"/>
    <w:rsid w:val="00907C5C"/>
    <w:rsid w:val="00907DC8"/>
    <w:rsid w:val="0091016D"/>
    <w:rsid w:val="00911492"/>
    <w:rsid w:val="009121B7"/>
    <w:rsid w:val="0091255A"/>
    <w:rsid w:val="00912BC8"/>
    <w:rsid w:val="009149A3"/>
    <w:rsid w:val="0091540A"/>
    <w:rsid w:val="00916723"/>
    <w:rsid w:val="00916812"/>
    <w:rsid w:val="00916948"/>
    <w:rsid w:val="0092091A"/>
    <w:rsid w:val="00921479"/>
    <w:rsid w:val="00921B35"/>
    <w:rsid w:val="00922721"/>
    <w:rsid w:val="00922EE6"/>
    <w:rsid w:val="00923F9E"/>
    <w:rsid w:val="009255A6"/>
    <w:rsid w:val="009258B4"/>
    <w:rsid w:val="00926491"/>
    <w:rsid w:val="00926601"/>
    <w:rsid w:val="0092684E"/>
    <w:rsid w:val="00927292"/>
    <w:rsid w:val="00930187"/>
    <w:rsid w:val="009303CD"/>
    <w:rsid w:val="009305D0"/>
    <w:rsid w:val="00931675"/>
    <w:rsid w:val="0093280C"/>
    <w:rsid w:val="00932840"/>
    <w:rsid w:val="0093498E"/>
    <w:rsid w:val="00934E3B"/>
    <w:rsid w:val="00940053"/>
    <w:rsid w:val="00941C90"/>
    <w:rsid w:val="009420CA"/>
    <w:rsid w:val="0094311C"/>
    <w:rsid w:val="009441A8"/>
    <w:rsid w:val="00944A6A"/>
    <w:rsid w:val="009505E6"/>
    <w:rsid w:val="00950623"/>
    <w:rsid w:val="00950798"/>
    <w:rsid w:val="009509FF"/>
    <w:rsid w:val="00951FF9"/>
    <w:rsid w:val="00952E71"/>
    <w:rsid w:val="00961EC8"/>
    <w:rsid w:val="00961FDF"/>
    <w:rsid w:val="0096266D"/>
    <w:rsid w:val="0096312A"/>
    <w:rsid w:val="00964B81"/>
    <w:rsid w:val="0096568C"/>
    <w:rsid w:val="0096658A"/>
    <w:rsid w:val="00966CDA"/>
    <w:rsid w:val="00966CFE"/>
    <w:rsid w:val="00967976"/>
    <w:rsid w:val="009708A4"/>
    <w:rsid w:val="00973B7A"/>
    <w:rsid w:val="00975859"/>
    <w:rsid w:val="00975FFC"/>
    <w:rsid w:val="0097694B"/>
    <w:rsid w:val="00976A3B"/>
    <w:rsid w:val="00976DF2"/>
    <w:rsid w:val="009770D8"/>
    <w:rsid w:val="009770EA"/>
    <w:rsid w:val="0098060E"/>
    <w:rsid w:val="009806CF"/>
    <w:rsid w:val="00981398"/>
    <w:rsid w:val="00981F06"/>
    <w:rsid w:val="00983EF9"/>
    <w:rsid w:val="009844CC"/>
    <w:rsid w:val="009848CD"/>
    <w:rsid w:val="00985A54"/>
    <w:rsid w:val="0098619A"/>
    <w:rsid w:val="00986A35"/>
    <w:rsid w:val="00991985"/>
    <w:rsid w:val="00992E15"/>
    <w:rsid w:val="009931B2"/>
    <w:rsid w:val="009931C9"/>
    <w:rsid w:val="00993A60"/>
    <w:rsid w:val="00993CBA"/>
    <w:rsid w:val="00995C11"/>
    <w:rsid w:val="009A014F"/>
    <w:rsid w:val="009A3861"/>
    <w:rsid w:val="009A3E07"/>
    <w:rsid w:val="009A57AD"/>
    <w:rsid w:val="009A5D79"/>
    <w:rsid w:val="009B0254"/>
    <w:rsid w:val="009B1842"/>
    <w:rsid w:val="009B25AB"/>
    <w:rsid w:val="009B3129"/>
    <w:rsid w:val="009B3E3E"/>
    <w:rsid w:val="009B3F06"/>
    <w:rsid w:val="009B3F20"/>
    <w:rsid w:val="009B4ADF"/>
    <w:rsid w:val="009B5322"/>
    <w:rsid w:val="009B539B"/>
    <w:rsid w:val="009B5F95"/>
    <w:rsid w:val="009B7E21"/>
    <w:rsid w:val="009C10A6"/>
    <w:rsid w:val="009C1C31"/>
    <w:rsid w:val="009C2B09"/>
    <w:rsid w:val="009C5636"/>
    <w:rsid w:val="009C7237"/>
    <w:rsid w:val="009D1DD4"/>
    <w:rsid w:val="009D36E4"/>
    <w:rsid w:val="009D3FA0"/>
    <w:rsid w:val="009D3FDD"/>
    <w:rsid w:val="009D4B73"/>
    <w:rsid w:val="009D508F"/>
    <w:rsid w:val="009D6D71"/>
    <w:rsid w:val="009E0C32"/>
    <w:rsid w:val="009E24D0"/>
    <w:rsid w:val="009E2F41"/>
    <w:rsid w:val="009E3773"/>
    <w:rsid w:val="009E3959"/>
    <w:rsid w:val="009E460D"/>
    <w:rsid w:val="009E46D1"/>
    <w:rsid w:val="009E4A3C"/>
    <w:rsid w:val="009E58E3"/>
    <w:rsid w:val="009E5A10"/>
    <w:rsid w:val="009E623D"/>
    <w:rsid w:val="009E6E07"/>
    <w:rsid w:val="009E7074"/>
    <w:rsid w:val="009E7A9F"/>
    <w:rsid w:val="009F11B4"/>
    <w:rsid w:val="009F1223"/>
    <w:rsid w:val="009F29CB"/>
    <w:rsid w:val="009F2B8F"/>
    <w:rsid w:val="009F2E4E"/>
    <w:rsid w:val="009F36E5"/>
    <w:rsid w:val="009F45B6"/>
    <w:rsid w:val="009F4904"/>
    <w:rsid w:val="009F757E"/>
    <w:rsid w:val="00A01CB3"/>
    <w:rsid w:val="00A047AB"/>
    <w:rsid w:val="00A04F71"/>
    <w:rsid w:val="00A05EFE"/>
    <w:rsid w:val="00A069CE"/>
    <w:rsid w:val="00A0765B"/>
    <w:rsid w:val="00A07879"/>
    <w:rsid w:val="00A10206"/>
    <w:rsid w:val="00A1146F"/>
    <w:rsid w:val="00A12927"/>
    <w:rsid w:val="00A1361E"/>
    <w:rsid w:val="00A1452E"/>
    <w:rsid w:val="00A1489E"/>
    <w:rsid w:val="00A15432"/>
    <w:rsid w:val="00A21D87"/>
    <w:rsid w:val="00A24037"/>
    <w:rsid w:val="00A249FD"/>
    <w:rsid w:val="00A252FC"/>
    <w:rsid w:val="00A27CDE"/>
    <w:rsid w:val="00A30F07"/>
    <w:rsid w:val="00A33202"/>
    <w:rsid w:val="00A34DB3"/>
    <w:rsid w:val="00A34ECF"/>
    <w:rsid w:val="00A35328"/>
    <w:rsid w:val="00A3570E"/>
    <w:rsid w:val="00A375D6"/>
    <w:rsid w:val="00A40825"/>
    <w:rsid w:val="00A41E03"/>
    <w:rsid w:val="00A43117"/>
    <w:rsid w:val="00A43984"/>
    <w:rsid w:val="00A502D4"/>
    <w:rsid w:val="00A50B78"/>
    <w:rsid w:val="00A51A7B"/>
    <w:rsid w:val="00A51ECF"/>
    <w:rsid w:val="00A51F29"/>
    <w:rsid w:val="00A52FE1"/>
    <w:rsid w:val="00A53742"/>
    <w:rsid w:val="00A53F17"/>
    <w:rsid w:val="00A569D2"/>
    <w:rsid w:val="00A56A88"/>
    <w:rsid w:val="00A57BEA"/>
    <w:rsid w:val="00A6050A"/>
    <w:rsid w:val="00A60D64"/>
    <w:rsid w:val="00A63247"/>
    <w:rsid w:val="00A63CF1"/>
    <w:rsid w:val="00A65502"/>
    <w:rsid w:val="00A66C5A"/>
    <w:rsid w:val="00A670A1"/>
    <w:rsid w:val="00A67775"/>
    <w:rsid w:val="00A701E6"/>
    <w:rsid w:val="00A70F83"/>
    <w:rsid w:val="00A71E53"/>
    <w:rsid w:val="00A72D07"/>
    <w:rsid w:val="00A73B9A"/>
    <w:rsid w:val="00A741A8"/>
    <w:rsid w:val="00A76127"/>
    <w:rsid w:val="00A77BF8"/>
    <w:rsid w:val="00A77E28"/>
    <w:rsid w:val="00A8017C"/>
    <w:rsid w:val="00A809F5"/>
    <w:rsid w:val="00A813A3"/>
    <w:rsid w:val="00A827BB"/>
    <w:rsid w:val="00A83035"/>
    <w:rsid w:val="00A84457"/>
    <w:rsid w:val="00A86FDC"/>
    <w:rsid w:val="00A8781D"/>
    <w:rsid w:val="00A943B1"/>
    <w:rsid w:val="00A94D87"/>
    <w:rsid w:val="00A9562F"/>
    <w:rsid w:val="00A95E23"/>
    <w:rsid w:val="00A972D0"/>
    <w:rsid w:val="00AA0A72"/>
    <w:rsid w:val="00AA0CD3"/>
    <w:rsid w:val="00AA2035"/>
    <w:rsid w:val="00AA2109"/>
    <w:rsid w:val="00AA4026"/>
    <w:rsid w:val="00AA40A5"/>
    <w:rsid w:val="00AA740B"/>
    <w:rsid w:val="00AA7CD6"/>
    <w:rsid w:val="00AB18DB"/>
    <w:rsid w:val="00AB1B43"/>
    <w:rsid w:val="00AB4CBA"/>
    <w:rsid w:val="00AB4D20"/>
    <w:rsid w:val="00AB671E"/>
    <w:rsid w:val="00AC2872"/>
    <w:rsid w:val="00AC2FEC"/>
    <w:rsid w:val="00AC358E"/>
    <w:rsid w:val="00AC42FD"/>
    <w:rsid w:val="00AC4334"/>
    <w:rsid w:val="00AC5433"/>
    <w:rsid w:val="00AC6C84"/>
    <w:rsid w:val="00AC6E78"/>
    <w:rsid w:val="00AC73AE"/>
    <w:rsid w:val="00AC7506"/>
    <w:rsid w:val="00AC7672"/>
    <w:rsid w:val="00AD0051"/>
    <w:rsid w:val="00AD0956"/>
    <w:rsid w:val="00AD32F0"/>
    <w:rsid w:val="00AD475F"/>
    <w:rsid w:val="00AD6B63"/>
    <w:rsid w:val="00AD7361"/>
    <w:rsid w:val="00AD7BEF"/>
    <w:rsid w:val="00AE0E6D"/>
    <w:rsid w:val="00AE0EDB"/>
    <w:rsid w:val="00AE11A9"/>
    <w:rsid w:val="00AE1B1E"/>
    <w:rsid w:val="00AE3FA0"/>
    <w:rsid w:val="00AE42C4"/>
    <w:rsid w:val="00AE4D21"/>
    <w:rsid w:val="00AE6690"/>
    <w:rsid w:val="00AE6FF8"/>
    <w:rsid w:val="00AF039C"/>
    <w:rsid w:val="00AF19AD"/>
    <w:rsid w:val="00AF241F"/>
    <w:rsid w:val="00AF27B9"/>
    <w:rsid w:val="00AF3680"/>
    <w:rsid w:val="00AF4F36"/>
    <w:rsid w:val="00AF5ACD"/>
    <w:rsid w:val="00AF63F3"/>
    <w:rsid w:val="00AF7CD5"/>
    <w:rsid w:val="00B00C89"/>
    <w:rsid w:val="00B01D33"/>
    <w:rsid w:val="00B01FBE"/>
    <w:rsid w:val="00B02321"/>
    <w:rsid w:val="00B023EC"/>
    <w:rsid w:val="00B037A7"/>
    <w:rsid w:val="00B05507"/>
    <w:rsid w:val="00B05C06"/>
    <w:rsid w:val="00B06E7E"/>
    <w:rsid w:val="00B06FAA"/>
    <w:rsid w:val="00B07AE9"/>
    <w:rsid w:val="00B10B38"/>
    <w:rsid w:val="00B1167C"/>
    <w:rsid w:val="00B148E6"/>
    <w:rsid w:val="00B14B20"/>
    <w:rsid w:val="00B14B7C"/>
    <w:rsid w:val="00B14F4D"/>
    <w:rsid w:val="00B151D4"/>
    <w:rsid w:val="00B153F0"/>
    <w:rsid w:val="00B1614C"/>
    <w:rsid w:val="00B20351"/>
    <w:rsid w:val="00B205BC"/>
    <w:rsid w:val="00B21DED"/>
    <w:rsid w:val="00B220BA"/>
    <w:rsid w:val="00B221AE"/>
    <w:rsid w:val="00B22507"/>
    <w:rsid w:val="00B22622"/>
    <w:rsid w:val="00B24C4D"/>
    <w:rsid w:val="00B25C76"/>
    <w:rsid w:val="00B31CFF"/>
    <w:rsid w:val="00B34866"/>
    <w:rsid w:val="00B3659D"/>
    <w:rsid w:val="00B3703A"/>
    <w:rsid w:val="00B37808"/>
    <w:rsid w:val="00B410FC"/>
    <w:rsid w:val="00B411F2"/>
    <w:rsid w:val="00B413F4"/>
    <w:rsid w:val="00B4201A"/>
    <w:rsid w:val="00B42A06"/>
    <w:rsid w:val="00B443A9"/>
    <w:rsid w:val="00B4479C"/>
    <w:rsid w:val="00B458B6"/>
    <w:rsid w:val="00B45D9C"/>
    <w:rsid w:val="00B46D98"/>
    <w:rsid w:val="00B50175"/>
    <w:rsid w:val="00B50403"/>
    <w:rsid w:val="00B50B1A"/>
    <w:rsid w:val="00B50B53"/>
    <w:rsid w:val="00B50C8D"/>
    <w:rsid w:val="00B515D2"/>
    <w:rsid w:val="00B52E3F"/>
    <w:rsid w:val="00B53607"/>
    <w:rsid w:val="00B56CBE"/>
    <w:rsid w:val="00B57B8E"/>
    <w:rsid w:val="00B601D3"/>
    <w:rsid w:val="00B60893"/>
    <w:rsid w:val="00B621DA"/>
    <w:rsid w:val="00B624E2"/>
    <w:rsid w:val="00B6365A"/>
    <w:rsid w:val="00B6499E"/>
    <w:rsid w:val="00B649B8"/>
    <w:rsid w:val="00B64B6B"/>
    <w:rsid w:val="00B66677"/>
    <w:rsid w:val="00B66763"/>
    <w:rsid w:val="00B6735B"/>
    <w:rsid w:val="00B67F5E"/>
    <w:rsid w:val="00B710B3"/>
    <w:rsid w:val="00B7183B"/>
    <w:rsid w:val="00B76462"/>
    <w:rsid w:val="00B76DA2"/>
    <w:rsid w:val="00B77668"/>
    <w:rsid w:val="00B77D7A"/>
    <w:rsid w:val="00B80615"/>
    <w:rsid w:val="00B81949"/>
    <w:rsid w:val="00B824DD"/>
    <w:rsid w:val="00B82D9C"/>
    <w:rsid w:val="00B83DA5"/>
    <w:rsid w:val="00B84533"/>
    <w:rsid w:val="00B84822"/>
    <w:rsid w:val="00B851B9"/>
    <w:rsid w:val="00B85603"/>
    <w:rsid w:val="00B862EE"/>
    <w:rsid w:val="00B865F1"/>
    <w:rsid w:val="00B9150A"/>
    <w:rsid w:val="00B92863"/>
    <w:rsid w:val="00B943CC"/>
    <w:rsid w:val="00B94542"/>
    <w:rsid w:val="00B94D15"/>
    <w:rsid w:val="00B96447"/>
    <w:rsid w:val="00B96E9B"/>
    <w:rsid w:val="00B978C7"/>
    <w:rsid w:val="00BA0AFC"/>
    <w:rsid w:val="00BA0EC2"/>
    <w:rsid w:val="00BA11F7"/>
    <w:rsid w:val="00BA1947"/>
    <w:rsid w:val="00BA1A8C"/>
    <w:rsid w:val="00BA3115"/>
    <w:rsid w:val="00BA345C"/>
    <w:rsid w:val="00BA37C9"/>
    <w:rsid w:val="00BA3C3B"/>
    <w:rsid w:val="00BA6031"/>
    <w:rsid w:val="00BA7FF4"/>
    <w:rsid w:val="00BB0A66"/>
    <w:rsid w:val="00BB31A8"/>
    <w:rsid w:val="00BB6004"/>
    <w:rsid w:val="00BB6CCE"/>
    <w:rsid w:val="00BB718E"/>
    <w:rsid w:val="00BB7B86"/>
    <w:rsid w:val="00BC08F4"/>
    <w:rsid w:val="00BC0BD4"/>
    <w:rsid w:val="00BC142A"/>
    <w:rsid w:val="00BC2FF8"/>
    <w:rsid w:val="00BC323E"/>
    <w:rsid w:val="00BC34B6"/>
    <w:rsid w:val="00BD18A1"/>
    <w:rsid w:val="00BD1A71"/>
    <w:rsid w:val="00BD210F"/>
    <w:rsid w:val="00BD25A7"/>
    <w:rsid w:val="00BD4BCB"/>
    <w:rsid w:val="00BD4EC0"/>
    <w:rsid w:val="00BD56D1"/>
    <w:rsid w:val="00BD5F4F"/>
    <w:rsid w:val="00BD71E1"/>
    <w:rsid w:val="00BD736E"/>
    <w:rsid w:val="00BE00EF"/>
    <w:rsid w:val="00BE10D3"/>
    <w:rsid w:val="00BE2640"/>
    <w:rsid w:val="00BE2852"/>
    <w:rsid w:val="00BE346E"/>
    <w:rsid w:val="00BE446A"/>
    <w:rsid w:val="00BE49B0"/>
    <w:rsid w:val="00BE4AF7"/>
    <w:rsid w:val="00BE5A50"/>
    <w:rsid w:val="00BE5EFA"/>
    <w:rsid w:val="00BE7D6A"/>
    <w:rsid w:val="00BF1080"/>
    <w:rsid w:val="00BF2774"/>
    <w:rsid w:val="00BF2832"/>
    <w:rsid w:val="00BF2B82"/>
    <w:rsid w:val="00BF319B"/>
    <w:rsid w:val="00BF3684"/>
    <w:rsid w:val="00BF5721"/>
    <w:rsid w:val="00BF575B"/>
    <w:rsid w:val="00BF7B34"/>
    <w:rsid w:val="00C0036D"/>
    <w:rsid w:val="00C03F5C"/>
    <w:rsid w:val="00C0483E"/>
    <w:rsid w:val="00C07C7B"/>
    <w:rsid w:val="00C104B4"/>
    <w:rsid w:val="00C10C3B"/>
    <w:rsid w:val="00C12583"/>
    <w:rsid w:val="00C15D92"/>
    <w:rsid w:val="00C1660F"/>
    <w:rsid w:val="00C1795E"/>
    <w:rsid w:val="00C17C5B"/>
    <w:rsid w:val="00C21316"/>
    <w:rsid w:val="00C22C06"/>
    <w:rsid w:val="00C272C7"/>
    <w:rsid w:val="00C31290"/>
    <w:rsid w:val="00C3237F"/>
    <w:rsid w:val="00C3399B"/>
    <w:rsid w:val="00C348A1"/>
    <w:rsid w:val="00C34DF2"/>
    <w:rsid w:val="00C36148"/>
    <w:rsid w:val="00C37649"/>
    <w:rsid w:val="00C420BE"/>
    <w:rsid w:val="00C42720"/>
    <w:rsid w:val="00C44ECD"/>
    <w:rsid w:val="00C45203"/>
    <w:rsid w:val="00C458C0"/>
    <w:rsid w:val="00C45AC4"/>
    <w:rsid w:val="00C4650F"/>
    <w:rsid w:val="00C46941"/>
    <w:rsid w:val="00C5315F"/>
    <w:rsid w:val="00C53574"/>
    <w:rsid w:val="00C53989"/>
    <w:rsid w:val="00C545DD"/>
    <w:rsid w:val="00C548A1"/>
    <w:rsid w:val="00C5492D"/>
    <w:rsid w:val="00C5522A"/>
    <w:rsid w:val="00C55E44"/>
    <w:rsid w:val="00C56037"/>
    <w:rsid w:val="00C562D3"/>
    <w:rsid w:val="00C57BE9"/>
    <w:rsid w:val="00C6170B"/>
    <w:rsid w:val="00C6293A"/>
    <w:rsid w:val="00C63BCE"/>
    <w:rsid w:val="00C64EE6"/>
    <w:rsid w:val="00C657E4"/>
    <w:rsid w:val="00C66519"/>
    <w:rsid w:val="00C66768"/>
    <w:rsid w:val="00C67795"/>
    <w:rsid w:val="00C70636"/>
    <w:rsid w:val="00C70679"/>
    <w:rsid w:val="00C72AB1"/>
    <w:rsid w:val="00C751AD"/>
    <w:rsid w:val="00C77325"/>
    <w:rsid w:val="00C774AA"/>
    <w:rsid w:val="00C77C0F"/>
    <w:rsid w:val="00C81D90"/>
    <w:rsid w:val="00C83B87"/>
    <w:rsid w:val="00C8554A"/>
    <w:rsid w:val="00C85656"/>
    <w:rsid w:val="00C86597"/>
    <w:rsid w:val="00C8666A"/>
    <w:rsid w:val="00C86ADC"/>
    <w:rsid w:val="00C86E2F"/>
    <w:rsid w:val="00C9028D"/>
    <w:rsid w:val="00C90521"/>
    <w:rsid w:val="00C90F6E"/>
    <w:rsid w:val="00C9230D"/>
    <w:rsid w:val="00C92973"/>
    <w:rsid w:val="00C938A4"/>
    <w:rsid w:val="00C93E1C"/>
    <w:rsid w:val="00C94E59"/>
    <w:rsid w:val="00C966AF"/>
    <w:rsid w:val="00CA1ABB"/>
    <w:rsid w:val="00CA1D6A"/>
    <w:rsid w:val="00CA23A9"/>
    <w:rsid w:val="00CA3AF7"/>
    <w:rsid w:val="00CA4B33"/>
    <w:rsid w:val="00CA5258"/>
    <w:rsid w:val="00CA6376"/>
    <w:rsid w:val="00CA733D"/>
    <w:rsid w:val="00CA7F06"/>
    <w:rsid w:val="00CB1930"/>
    <w:rsid w:val="00CB26E5"/>
    <w:rsid w:val="00CB27E6"/>
    <w:rsid w:val="00CB39E4"/>
    <w:rsid w:val="00CB6C0E"/>
    <w:rsid w:val="00CB7060"/>
    <w:rsid w:val="00CC0871"/>
    <w:rsid w:val="00CC08E3"/>
    <w:rsid w:val="00CC0F57"/>
    <w:rsid w:val="00CC1062"/>
    <w:rsid w:val="00CC2779"/>
    <w:rsid w:val="00CC2804"/>
    <w:rsid w:val="00CC6294"/>
    <w:rsid w:val="00CC7E03"/>
    <w:rsid w:val="00CD102F"/>
    <w:rsid w:val="00CD1A9A"/>
    <w:rsid w:val="00CD2FCE"/>
    <w:rsid w:val="00CD59AD"/>
    <w:rsid w:val="00CE032C"/>
    <w:rsid w:val="00CE0431"/>
    <w:rsid w:val="00CE0723"/>
    <w:rsid w:val="00CE0834"/>
    <w:rsid w:val="00CE2364"/>
    <w:rsid w:val="00CE2FC4"/>
    <w:rsid w:val="00CE4F70"/>
    <w:rsid w:val="00CE57BE"/>
    <w:rsid w:val="00CE5923"/>
    <w:rsid w:val="00CF062B"/>
    <w:rsid w:val="00CF0E26"/>
    <w:rsid w:val="00CF289B"/>
    <w:rsid w:val="00CF28DB"/>
    <w:rsid w:val="00CF46D0"/>
    <w:rsid w:val="00CF471C"/>
    <w:rsid w:val="00CF5074"/>
    <w:rsid w:val="00CF587C"/>
    <w:rsid w:val="00CF6324"/>
    <w:rsid w:val="00CF69C4"/>
    <w:rsid w:val="00D012DB"/>
    <w:rsid w:val="00D029BC"/>
    <w:rsid w:val="00D02A6B"/>
    <w:rsid w:val="00D032BF"/>
    <w:rsid w:val="00D056B1"/>
    <w:rsid w:val="00D06438"/>
    <w:rsid w:val="00D06EB4"/>
    <w:rsid w:val="00D07A6E"/>
    <w:rsid w:val="00D1091B"/>
    <w:rsid w:val="00D11415"/>
    <w:rsid w:val="00D11DBE"/>
    <w:rsid w:val="00D1287E"/>
    <w:rsid w:val="00D12AAE"/>
    <w:rsid w:val="00D13354"/>
    <w:rsid w:val="00D178E0"/>
    <w:rsid w:val="00D2138F"/>
    <w:rsid w:val="00D21984"/>
    <w:rsid w:val="00D225DE"/>
    <w:rsid w:val="00D230DD"/>
    <w:rsid w:val="00D23CE8"/>
    <w:rsid w:val="00D25CE4"/>
    <w:rsid w:val="00D3058F"/>
    <w:rsid w:val="00D3150D"/>
    <w:rsid w:val="00D327A5"/>
    <w:rsid w:val="00D32A26"/>
    <w:rsid w:val="00D33ECE"/>
    <w:rsid w:val="00D33FE8"/>
    <w:rsid w:val="00D3511A"/>
    <w:rsid w:val="00D36378"/>
    <w:rsid w:val="00D3648F"/>
    <w:rsid w:val="00D403AB"/>
    <w:rsid w:val="00D40973"/>
    <w:rsid w:val="00D412F8"/>
    <w:rsid w:val="00D413F0"/>
    <w:rsid w:val="00D41660"/>
    <w:rsid w:val="00D42B2C"/>
    <w:rsid w:val="00D433EB"/>
    <w:rsid w:val="00D43801"/>
    <w:rsid w:val="00D44A8D"/>
    <w:rsid w:val="00D462F7"/>
    <w:rsid w:val="00D46A0B"/>
    <w:rsid w:val="00D46C67"/>
    <w:rsid w:val="00D52FFD"/>
    <w:rsid w:val="00D5394F"/>
    <w:rsid w:val="00D5638E"/>
    <w:rsid w:val="00D565B2"/>
    <w:rsid w:val="00D57A5B"/>
    <w:rsid w:val="00D605FC"/>
    <w:rsid w:val="00D60E06"/>
    <w:rsid w:val="00D662A8"/>
    <w:rsid w:val="00D67221"/>
    <w:rsid w:val="00D70522"/>
    <w:rsid w:val="00D71065"/>
    <w:rsid w:val="00D7181D"/>
    <w:rsid w:val="00D71F04"/>
    <w:rsid w:val="00D72F32"/>
    <w:rsid w:val="00D800D8"/>
    <w:rsid w:val="00D8010F"/>
    <w:rsid w:val="00D80448"/>
    <w:rsid w:val="00D80793"/>
    <w:rsid w:val="00D8104D"/>
    <w:rsid w:val="00D81E22"/>
    <w:rsid w:val="00D82B8F"/>
    <w:rsid w:val="00D8432D"/>
    <w:rsid w:val="00D84409"/>
    <w:rsid w:val="00D84F62"/>
    <w:rsid w:val="00D85645"/>
    <w:rsid w:val="00D85AAC"/>
    <w:rsid w:val="00D85B59"/>
    <w:rsid w:val="00D86582"/>
    <w:rsid w:val="00D86CF6"/>
    <w:rsid w:val="00D86E6C"/>
    <w:rsid w:val="00D9335A"/>
    <w:rsid w:val="00D93BFE"/>
    <w:rsid w:val="00D9435E"/>
    <w:rsid w:val="00D950D6"/>
    <w:rsid w:val="00D9539D"/>
    <w:rsid w:val="00D97C3A"/>
    <w:rsid w:val="00DA05DD"/>
    <w:rsid w:val="00DA27A1"/>
    <w:rsid w:val="00DA350A"/>
    <w:rsid w:val="00DA3D85"/>
    <w:rsid w:val="00DA4CD6"/>
    <w:rsid w:val="00DA50F2"/>
    <w:rsid w:val="00DA6D0B"/>
    <w:rsid w:val="00DB1576"/>
    <w:rsid w:val="00DB176F"/>
    <w:rsid w:val="00DB180C"/>
    <w:rsid w:val="00DB3756"/>
    <w:rsid w:val="00DB4A4E"/>
    <w:rsid w:val="00DB4A9A"/>
    <w:rsid w:val="00DB4B7E"/>
    <w:rsid w:val="00DB4C74"/>
    <w:rsid w:val="00DB4FD0"/>
    <w:rsid w:val="00DB51C7"/>
    <w:rsid w:val="00DB5D4A"/>
    <w:rsid w:val="00DB6F3A"/>
    <w:rsid w:val="00DB723C"/>
    <w:rsid w:val="00DC0ECB"/>
    <w:rsid w:val="00DC1125"/>
    <w:rsid w:val="00DC1765"/>
    <w:rsid w:val="00DC2B29"/>
    <w:rsid w:val="00DC3459"/>
    <w:rsid w:val="00DC7195"/>
    <w:rsid w:val="00DC7568"/>
    <w:rsid w:val="00DD0E2B"/>
    <w:rsid w:val="00DD15D1"/>
    <w:rsid w:val="00DD1A4E"/>
    <w:rsid w:val="00DD2B69"/>
    <w:rsid w:val="00DD4D62"/>
    <w:rsid w:val="00DD5841"/>
    <w:rsid w:val="00DD7873"/>
    <w:rsid w:val="00DE0FFF"/>
    <w:rsid w:val="00DE1689"/>
    <w:rsid w:val="00DE375D"/>
    <w:rsid w:val="00DE3BE3"/>
    <w:rsid w:val="00DE561B"/>
    <w:rsid w:val="00DE62D1"/>
    <w:rsid w:val="00DE7C91"/>
    <w:rsid w:val="00DF02A6"/>
    <w:rsid w:val="00DF1EF0"/>
    <w:rsid w:val="00DF257A"/>
    <w:rsid w:val="00DF2715"/>
    <w:rsid w:val="00DF3A6C"/>
    <w:rsid w:val="00DF5972"/>
    <w:rsid w:val="00DF7AF3"/>
    <w:rsid w:val="00DF7E89"/>
    <w:rsid w:val="00E008FC"/>
    <w:rsid w:val="00E0176D"/>
    <w:rsid w:val="00E01917"/>
    <w:rsid w:val="00E02612"/>
    <w:rsid w:val="00E02772"/>
    <w:rsid w:val="00E049EA"/>
    <w:rsid w:val="00E07775"/>
    <w:rsid w:val="00E12E02"/>
    <w:rsid w:val="00E12FF0"/>
    <w:rsid w:val="00E1583D"/>
    <w:rsid w:val="00E16610"/>
    <w:rsid w:val="00E16DE0"/>
    <w:rsid w:val="00E20A3C"/>
    <w:rsid w:val="00E21AB2"/>
    <w:rsid w:val="00E235B4"/>
    <w:rsid w:val="00E25C83"/>
    <w:rsid w:val="00E268E5"/>
    <w:rsid w:val="00E3132F"/>
    <w:rsid w:val="00E322F7"/>
    <w:rsid w:val="00E32F64"/>
    <w:rsid w:val="00E33571"/>
    <w:rsid w:val="00E340C6"/>
    <w:rsid w:val="00E3464A"/>
    <w:rsid w:val="00E35616"/>
    <w:rsid w:val="00E366F3"/>
    <w:rsid w:val="00E403EB"/>
    <w:rsid w:val="00E40538"/>
    <w:rsid w:val="00E40F15"/>
    <w:rsid w:val="00E4274B"/>
    <w:rsid w:val="00E42CC7"/>
    <w:rsid w:val="00E4377E"/>
    <w:rsid w:val="00E43E09"/>
    <w:rsid w:val="00E43EDC"/>
    <w:rsid w:val="00E43EE6"/>
    <w:rsid w:val="00E43F7A"/>
    <w:rsid w:val="00E45067"/>
    <w:rsid w:val="00E509EA"/>
    <w:rsid w:val="00E50A46"/>
    <w:rsid w:val="00E51824"/>
    <w:rsid w:val="00E541E5"/>
    <w:rsid w:val="00E5423F"/>
    <w:rsid w:val="00E568BD"/>
    <w:rsid w:val="00E569D3"/>
    <w:rsid w:val="00E5715B"/>
    <w:rsid w:val="00E579A8"/>
    <w:rsid w:val="00E60EA1"/>
    <w:rsid w:val="00E63040"/>
    <w:rsid w:val="00E70069"/>
    <w:rsid w:val="00E70AB1"/>
    <w:rsid w:val="00E70AB4"/>
    <w:rsid w:val="00E72518"/>
    <w:rsid w:val="00E72594"/>
    <w:rsid w:val="00E72735"/>
    <w:rsid w:val="00E73BFD"/>
    <w:rsid w:val="00E74DE6"/>
    <w:rsid w:val="00E750FA"/>
    <w:rsid w:val="00E75C9C"/>
    <w:rsid w:val="00E76692"/>
    <w:rsid w:val="00E76773"/>
    <w:rsid w:val="00E774CB"/>
    <w:rsid w:val="00E77921"/>
    <w:rsid w:val="00E80EA2"/>
    <w:rsid w:val="00E81E00"/>
    <w:rsid w:val="00E82999"/>
    <w:rsid w:val="00E82B39"/>
    <w:rsid w:val="00E82FE3"/>
    <w:rsid w:val="00E84AA6"/>
    <w:rsid w:val="00E85621"/>
    <w:rsid w:val="00E85ABB"/>
    <w:rsid w:val="00E8666F"/>
    <w:rsid w:val="00E873A7"/>
    <w:rsid w:val="00E9088B"/>
    <w:rsid w:val="00E924E2"/>
    <w:rsid w:val="00E92678"/>
    <w:rsid w:val="00E926EE"/>
    <w:rsid w:val="00E947F4"/>
    <w:rsid w:val="00E94FC3"/>
    <w:rsid w:val="00E9761D"/>
    <w:rsid w:val="00EA0312"/>
    <w:rsid w:val="00EA1A46"/>
    <w:rsid w:val="00EA3140"/>
    <w:rsid w:val="00EA3E7F"/>
    <w:rsid w:val="00EA3F8B"/>
    <w:rsid w:val="00EA41A8"/>
    <w:rsid w:val="00EA56E9"/>
    <w:rsid w:val="00EB1F17"/>
    <w:rsid w:val="00EB2F2E"/>
    <w:rsid w:val="00EB4065"/>
    <w:rsid w:val="00EB549B"/>
    <w:rsid w:val="00EB5B7C"/>
    <w:rsid w:val="00EB601B"/>
    <w:rsid w:val="00EB6D8D"/>
    <w:rsid w:val="00EB7840"/>
    <w:rsid w:val="00EC21C9"/>
    <w:rsid w:val="00EC3B21"/>
    <w:rsid w:val="00EC3C03"/>
    <w:rsid w:val="00ED0D53"/>
    <w:rsid w:val="00ED0E2A"/>
    <w:rsid w:val="00ED427D"/>
    <w:rsid w:val="00ED4A8A"/>
    <w:rsid w:val="00ED50ED"/>
    <w:rsid w:val="00ED6144"/>
    <w:rsid w:val="00ED7430"/>
    <w:rsid w:val="00EE1849"/>
    <w:rsid w:val="00EE1AC2"/>
    <w:rsid w:val="00EE26F7"/>
    <w:rsid w:val="00EE48A0"/>
    <w:rsid w:val="00EE7F83"/>
    <w:rsid w:val="00EF22AC"/>
    <w:rsid w:val="00EF529B"/>
    <w:rsid w:val="00EF5494"/>
    <w:rsid w:val="00EF5F58"/>
    <w:rsid w:val="00EF6FA8"/>
    <w:rsid w:val="00F00361"/>
    <w:rsid w:val="00F01ABC"/>
    <w:rsid w:val="00F02463"/>
    <w:rsid w:val="00F03233"/>
    <w:rsid w:val="00F05C31"/>
    <w:rsid w:val="00F06F01"/>
    <w:rsid w:val="00F1161F"/>
    <w:rsid w:val="00F13126"/>
    <w:rsid w:val="00F13405"/>
    <w:rsid w:val="00F15869"/>
    <w:rsid w:val="00F17092"/>
    <w:rsid w:val="00F20C6A"/>
    <w:rsid w:val="00F22849"/>
    <w:rsid w:val="00F2297A"/>
    <w:rsid w:val="00F23EA2"/>
    <w:rsid w:val="00F23FA0"/>
    <w:rsid w:val="00F255CB"/>
    <w:rsid w:val="00F25EBC"/>
    <w:rsid w:val="00F25F35"/>
    <w:rsid w:val="00F27002"/>
    <w:rsid w:val="00F270B1"/>
    <w:rsid w:val="00F27A9D"/>
    <w:rsid w:val="00F309F1"/>
    <w:rsid w:val="00F3102E"/>
    <w:rsid w:val="00F33619"/>
    <w:rsid w:val="00F33D5F"/>
    <w:rsid w:val="00F33F3D"/>
    <w:rsid w:val="00F372BC"/>
    <w:rsid w:val="00F40EB5"/>
    <w:rsid w:val="00F42720"/>
    <w:rsid w:val="00F441A3"/>
    <w:rsid w:val="00F472EB"/>
    <w:rsid w:val="00F5522F"/>
    <w:rsid w:val="00F56DB9"/>
    <w:rsid w:val="00F56DDB"/>
    <w:rsid w:val="00F606A6"/>
    <w:rsid w:val="00F63BC8"/>
    <w:rsid w:val="00F65E7C"/>
    <w:rsid w:val="00F6628D"/>
    <w:rsid w:val="00F66B13"/>
    <w:rsid w:val="00F67A70"/>
    <w:rsid w:val="00F70DB1"/>
    <w:rsid w:val="00F718FF"/>
    <w:rsid w:val="00F71CA5"/>
    <w:rsid w:val="00F73338"/>
    <w:rsid w:val="00F738EE"/>
    <w:rsid w:val="00F751BE"/>
    <w:rsid w:val="00F767AD"/>
    <w:rsid w:val="00F768A3"/>
    <w:rsid w:val="00F77916"/>
    <w:rsid w:val="00F7796E"/>
    <w:rsid w:val="00F77BCE"/>
    <w:rsid w:val="00F77BFE"/>
    <w:rsid w:val="00F80062"/>
    <w:rsid w:val="00F808CF"/>
    <w:rsid w:val="00F82183"/>
    <w:rsid w:val="00F847A7"/>
    <w:rsid w:val="00F84D5D"/>
    <w:rsid w:val="00F87679"/>
    <w:rsid w:val="00F90BF6"/>
    <w:rsid w:val="00F911D5"/>
    <w:rsid w:val="00F9352A"/>
    <w:rsid w:val="00F935E9"/>
    <w:rsid w:val="00F97559"/>
    <w:rsid w:val="00FA2C71"/>
    <w:rsid w:val="00FA2DF0"/>
    <w:rsid w:val="00FA4A73"/>
    <w:rsid w:val="00FA4C1A"/>
    <w:rsid w:val="00FA4F95"/>
    <w:rsid w:val="00FA594D"/>
    <w:rsid w:val="00FA76F7"/>
    <w:rsid w:val="00FB03DD"/>
    <w:rsid w:val="00FB0472"/>
    <w:rsid w:val="00FB0477"/>
    <w:rsid w:val="00FB05A6"/>
    <w:rsid w:val="00FB3C1C"/>
    <w:rsid w:val="00FB3C99"/>
    <w:rsid w:val="00FB49BC"/>
    <w:rsid w:val="00FB509C"/>
    <w:rsid w:val="00FB52C2"/>
    <w:rsid w:val="00FB5C02"/>
    <w:rsid w:val="00FB6A74"/>
    <w:rsid w:val="00FB726D"/>
    <w:rsid w:val="00FB7ABA"/>
    <w:rsid w:val="00FB7ED1"/>
    <w:rsid w:val="00FC55B5"/>
    <w:rsid w:val="00FC5875"/>
    <w:rsid w:val="00FC63B9"/>
    <w:rsid w:val="00FC6942"/>
    <w:rsid w:val="00FD0D56"/>
    <w:rsid w:val="00FD1C78"/>
    <w:rsid w:val="00FD47CA"/>
    <w:rsid w:val="00FD4D1B"/>
    <w:rsid w:val="00FD56DA"/>
    <w:rsid w:val="00FD7D2B"/>
    <w:rsid w:val="00FE0682"/>
    <w:rsid w:val="00FE0BAC"/>
    <w:rsid w:val="00FE103E"/>
    <w:rsid w:val="00FE1AD8"/>
    <w:rsid w:val="00FE3804"/>
    <w:rsid w:val="00FE3EE4"/>
    <w:rsid w:val="00FE4227"/>
    <w:rsid w:val="00FE42A2"/>
    <w:rsid w:val="00FE436D"/>
    <w:rsid w:val="00FE4941"/>
    <w:rsid w:val="00FE5EB0"/>
    <w:rsid w:val="00FE7359"/>
    <w:rsid w:val="00FE7AE8"/>
    <w:rsid w:val="00FF03A5"/>
    <w:rsid w:val="00FF07D4"/>
    <w:rsid w:val="00FF159B"/>
    <w:rsid w:val="00FF15CF"/>
    <w:rsid w:val="00FF4F84"/>
    <w:rsid w:val="00FF575A"/>
    <w:rsid w:val="00FF59DC"/>
    <w:rsid w:val="00FF5B16"/>
    <w:rsid w:val="00FF7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446D289F"/>
  <w15:docId w15:val="{F4BF6F6F-A393-42E6-9604-60B949DF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65B2"/>
    <w:pPr>
      <w:spacing w:after="0" w:line="240" w:lineRule="auto"/>
    </w:pPr>
    <w:rPr>
      <w:rFonts w:ascii="Segoe UI Semilight" w:hAnsi="Segoe UI Semilight"/>
      <w:sz w:val="20"/>
    </w:rPr>
  </w:style>
  <w:style w:type="paragraph" w:styleId="Heading1">
    <w:name w:val="heading 1"/>
    <w:basedOn w:val="Normal"/>
    <w:next w:val="BodyText"/>
    <w:link w:val="Heading1Char"/>
    <w:uiPriority w:val="9"/>
    <w:qFormat/>
    <w:rsid w:val="00D565B2"/>
    <w:pPr>
      <w:keepNext/>
      <w:keepLines/>
      <w:numPr>
        <w:numId w:val="2"/>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FE7AE8"/>
    <w:pPr>
      <w:keepNext/>
      <w:keepLines/>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14348A"/>
    <w:pPr>
      <w:keepNext/>
      <w:keepLines/>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D565B2"/>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D565B2"/>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D565B2"/>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D565B2"/>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D565B2"/>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D565B2"/>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D565B2"/>
    <w:pPr>
      <w:tabs>
        <w:tab w:val="right" w:leader="dot" w:pos="10080"/>
      </w:tabs>
      <w:ind w:left="1440" w:right="720" w:hanging="720"/>
    </w:pPr>
  </w:style>
  <w:style w:type="character" w:customStyle="1" w:styleId="Heading1Char">
    <w:name w:val="Heading 1 Char"/>
    <w:basedOn w:val="DefaultParagraphFont"/>
    <w:link w:val="Heading1"/>
    <w:uiPriority w:val="9"/>
    <w:rsid w:val="00D565B2"/>
    <w:rPr>
      <w:rFonts w:ascii="Trebuchet MS" w:hAnsi="Trebuchet MS"/>
      <w:bCs/>
      <w:caps/>
      <w:sz w:val="36"/>
      <w:szCs w:val="28"/>
    </w:rPr>
  </w:style>
  <w:style w:type="character" w:customStyle="1" w:styleId="Heading2Char">
    <w:name w:val="Heading 2 Char"/>
    <w:basedOn w:val="DefaultParagraphFont"/>
    <w:link w:val="Heading2"/>
    <w:uiPriority w:val="9"/>
    <w:rsid w:val="00D565B2"/>
    <w:rPr>
      <w:rFonts w:ascii="Trebuchet MS" w:hAnsi="Trebuchet MS"/>
      <w:caps/>
      <w:sz w:val="32"/>
      <w:szCs w:val="26"/>
    </w:rPr>
  </w:style>
  <w:style w:type="character" w:customStyle="1" w:styleId="Heading3Char">
    <w:name w:val="Heading 3 Char"/>
    <w:basedOn w:val="DefaultParagraphFont"/>
    <w:link w:val="Heading3"/>
    <w:uiPriority w:val="9"/>
    <w:rsid w:val="00D565B2"/>
    <w:rPr>
      <w:rFonts w:ascii="Trebuchet MS" w:hAnsi="Trebuchet MS"/>
      <w:bCs/>
      <w:sz w:val="32"/>
    </w:rPr>
  </w:style>
  <w:style w:type="paragraph" w:styleId="BodyText">
    <w:name w:val="Body Text"/>
    <w:aliases w:val="Char Char Char Char Char Char Char Char Char Char Char Char Char Char Char,Char Char Char Char Char,Body Text Char1,Char,(ALT+B),Body Text1,(ALT+B) Char Char1,(ALT+B) Cha1 Char Char,Body Text Char Char Char Char,Body Text Char1 Char1 Char Char"/>
    <w:basedOn w:val="Normal"/>
    <w:link w:val="BodyTextChar"/>
    <w:rsid w:val="00D565B2"/>
    <w:pPr>
      <w:spacing w:after="120"/>
    </w:pPr>
  </w:style>
  <w:style w:type="character" w:customStyle="1" w:styleId="BodyTextChar">
    <w:name w:val="Body Text Char"/>
    <w:aliases w:val="Char Char Char Char Char Char Char Char Char Char Char Char Char Char Char Char,Char Char Char Char Char Char,Body Text Char1 Char,Char Char,(ALT+B) Char,Body Text1 Char,(ALT+B) Char Char1 Char,(ALT+B) Cha1 Char Char Char"/>
    <w:basedOn w:val="DefaultParagraphFont"/>
    <w:link w:val="BodyText"/>
    <w:rsid w:val="00D565B2"/>
    <w:rPr>
      <w:rFonts w:ascii="Segoe UI Semilight" w:hAnsi="Segoe UI Semilight"/>
      <w:sz w:val="20"/>
    </w:rPr>
  </w:style>
  <w:style w:type="paragraph" w:customStyle="1" w:styleId="Bullet1">
    <w:name w:val="Bullet 1"/>
    <w:basedOn w:val="Normal"/>
    <w:link w:val="Bullet1Char"/>
    <w:qFormat/>
    <w:rsid w:val="00D565B2"/>
    <w:pPr>
      <w:numPr>
        <w:numId w:val="1"/>
      </w:numPr>
      <w:spacing w:after="120"/>
    </w:pPr>
    <w:rPr>
      <w:bCs/>
    </w:rPr>
  </w:style>
  <w:style w:type="character" w:styleId="CommentReference">
    <w:name w:val="annotation reference"/>
    <w:basedOn w:val="DefaultParagraphFont"/>
    <w:uiPriority w:val="99"/>
    <w:unhideWhenUsed/>
    <w:rsid w:val="00921B35"/>
    <w:rPr>
      <w:sz w:val="16"/>
      <w:szCs w:val="16"/>
    </w:rPr>
  </w:style>
  <w:style w:type="paragraph" w:styleId="CommentText">
    <w:name w:val="annotation text"/>
    <w:basedOn w:val="Normal"/>
    <w:link w:val="CommentTextChar"/>
    <w:uiPriority w:val="99"/>
    <w:unhideWhenUsed/>
    <w:rsid w:val="00921B35"/>
    <w:rPr>
      <w:szCs w:val="20"/>
    </w:rPr>
  </w:style>
  <w:style w:type="character" w:customStyle="1" w:styleId="CommentTextChar">
    <w:name w:val="Comment Text Char"/>
    <w:basedOn w:val="DefaultParagraphFont"/>
    <w:link w:val="CommentText"/>
    <w:uiPriority w:val="99"/>
    <w:rsid w:val="00921B35"/>
    <w:rPr>
      <w:rFonts w:ascii="Calibri" w:eastAsia="Times New Roman" w:hAnsi="Calibri" w:cs="Times New Roman"/>
      <w:sz w:val="20"/>
      <w:szCs w:val="20"/>
    </w:rPr>
  </w:style>
  <w:style w:type="character" w:customStyle="1" w:styleId="Heading5Char">
    <w:name w:val="Heading 5 Char"/>
    <w:basedOn w:val="DefaultParagraphFont"/>
    <w:link w:val="Heading5"/>
    <w:uiPriority w:val="9"/>
    <w:rsid w:val="00D565B2"/>
    <w:rPr>
      <w:rFonts w:ascii="Trebuchet MS" w:hAnsi="Trebuchet MS"/>
      <w:sz w:val="24"/>
      <w:szCs w:val="26"/>
    </w:rPr>
  </w:style>
  <w:style w:type="paragraph" w:styleId="CommentSubject">
    <w:name w:val="annotation subject"/>
    <w:basedOn w:val="CommentText"/>
    <w:next w:val="CommentText"/>
    <w:link w:val="CommentSubjectChar"/>
    <w:uiPriority w:val="99"/>
    <w:semiHidden/>
    <w:unhideWhenUsed/>
    <w:rsid w:val="0065590C"/>
    <w:rPr>
      <w:b/>
      <w:bCs/>
    </w:rPr>
  </w:style>
  <w:style w:type="character" w:customStyle="1" w:styleId="CommentSubjectChar">
    <w:name w:val="Comment Subject Char"/>
    <w:basedOn w:val="CommentTextChar"/>
    <w:link w:val="CommentSubject"/>
    <w:uiPriority w:val="99"/>
    <w:semiHidden/>
    <w:rsid w:val="0065590C"/>
    <w:rPr>
      <w:rFonts w:ascii="Calibri" w:eastAsia="Times New Roman" w:hAnsi="Calibri" w:cs="Times New Roman"/>
      <w:b/>
      <w:bCs/>
      <w:sz w:val="20"/>
      <w:szCs w:val="20"/>
    </w:rPr>
  </w:style>
  <w:style w:type="character" w:customStyle="1" w:styleId="Heading4Char">
    <w:name w:val="Heading 4 Char"/>
    <w:basedOn w:val="DefaultParagraphFont"/>
    <w:link w:val="Heading4"/>
    <w:uiPriority w:val="9"/>
    <w:rsid w:val="00D565B2"/>
    <w:rPr>
      <w:rFonts w:ascii="Trebuchet MS" w:hAnsi="Trebuchet MS"/>
      <w:caps/>
      <w:sz w:val="28"/>
    </w:rPr>
  </w:style>
  <w:style w:type="character" w:customStyle="1" w:styleId="Heading6Char">
    <w:name w:val="Heading 6 Char"/>
    <w:basedOn w:val="DefaultParagraphFont"/>
    <w:link w:val="Heading6"/>
    <w:uiPriority w:val="9"/>
    <w:rsid w:val="00D565B2"/>
    <w:rPr>
      <w:rFonts w:ascii="Trebuchet MS" w:hAnsi="Trebuchet MS"/>
      <w:iCs/>
      <w:sz w:val="20"/>
      <w:u w:val="single"/>
    </w:rPr>
  </w:style>
  <w:style w:type="character" w:customStyle="1" w:styleId="Heading7Char">
    <w:name w:val="Heading 7 Char"/>
    <w:basedOn w:val="DefaultParagraphFont"/>
    <w:link w:val="Heading7"/>
    <w:uiPriority w:val="9"/>
    <w:rsid w:val="00D565B2"/>
    <w:rPr>
      <w:rFonts w:ascii="Trebuchet MS" w:hAnsi="Trebuchet MS"/>
      <w:sz w:val="20"/>
    </w:rPr>
  </w:style>
  <w:style w:type="character" w:customStyle="1" w:styleId="Heading8Char">
    <w:name w:val="Heading 8 Char"/>
    <w:basedOn w:val="DefaultParagraphFont"/>
    <w:link w:val="Heading8"/>
    <w:uiPriority w:val="9"/>
    <w:rsid w:val="00D565B2"/>
    <w:rPr>
      <w:rFonts w:ascii="Trebuchet MS" w:hAnsi="Trebuchet MS"/>
      <w:sz w:val="20"/>
      <w:szCs w:val="20"/>
    </w:rPr>
  </w:style>
  <w:style w:type="character" w:customStyle="1" w:styleId="Heading9Char">
    <w:name w:val="Heading 9 Char"/>
    <w:basedOn w:val="DefaultParagraphFont"/>
    <w:link w:val="Heading9"/>
    <w:uiPriority w:val="9"/>
    <w:rsid w:val="00D565B2"/>
    <w:rPr>
      <w:rFonts w:ascii="Trebuchet MS" w:hAnsi="Trebuchet MS"/>
      <w:iCs/>
      <w:sz w:val="20"/>
      <w:szCs w:val="20"/>
    </w:rPr>
  </w:style>
  <w:style w:type="paragraph" w:customStyle="1" w:styleId="Bullet2">
    <w:name w:val="Bullet 2"/>
    <w:basedOn w:val="Normal"/>
    <w:qFormat/>
    <w:rsid w:val="00D565B2"/>
    <w:pPr>
      <w:numPr>
        <w:numId w:val="3"/>
      </w:numPr>
      <w:spacing w:after="120"/>
    </w:pPr>
    <w:rPr>
      <w:bCs/>
    </w:rPr>
  </w:style>
  <w:style w:type="paragraph" w:customStyle="1" w:styleId="Bullet3">
    <w:name w:val="Bullet 3"/>
    <w:basedOn w:val="Normal"/>
    <w:qFormat/>
    <w:rsid w:val="00D565B2"/>
    <w:pPr>
      <w:numPr>
        <w:numId w:val="4"/>
      </w:numPr>
      <w:tabs>
        <w:tab w:val="left" w:pos="1080"/>
      </w:tabs>
      <w:spacing w:after="120"/>
    </w:pPr>
    <w:rPr>
      <w:rFonts w:eastAsia="Calibri"/>
      <w:bCs/>
      <w:noProof/>
    </w:rPr>
  </w:style>
  <w:style w:type="paragraph" w:styleId="Footer">
    <w:name w:val="footer"/>
    <w:basedOn w:val="Normal"/>
    <w:link w:val="FooterChar"/>
    <w:uiPriority w:val="99"/>
    <w:rsid w:val="00D565B2"/>
    <w:pPr>
      <w:pBdr>
        <w:top w:val="single" w:sz="4" w:space="1" w:color="auto"/>
      </w:pBdr>
      <w:tabs>
        <w:tab w:val="right" w:pos="10080"/>
      </w:tabs>
    </w:pPr>
    <w:rPr>
      <w:color w:val="404040" w:themeColor="text1" w:themeTint="BF"/>
      <w:w w:val="90"/>
      <w:sz w:val="18"/>
    </w:rPr>
  </w:style>
  <w:style w:type="character" w:customStyle="1" w:styleId="FooterChar">
    <w:name w:val="Footer Char"/>
    <w:basedOn w:val="DefaultParagraphFont"/>
    <w:link w:val="Footer"/>
    <w:uiPriority w:val="99"/>
    <w:rsid w:val="00D565B2"/>
    <w:rPr>
      <w:rFonts w:ascii="Segoe UI Semilight" w:hAnsi="Segoe UI Semilight"/>
      <w:color w:val="404040" w:themeColor="text1" w:themeTint="BF"/>
      <w:w w:val="90"/>
      <w:sz w:val="18"/>
    </w:rPr>
  </w:style>
  <w:style w:type="paragraph" w:customStyle="1" w:styleId="footnote">
    <w:name w:val="footnote"/>
    <w:basedOn w:val="Normal"/>
    <w:qFormat/>
    <w:rsid w:val="00D565B2"/>
    <w:pPr>
      <w:ind w:left="180" w:hanging="180"/>
    </w:pPr>
    <w:rPr>
      <w:bCs/>
      <w:sz w:val="16"/>
    </w:rPr>
  </w:style>
  <w:style w:type="paragraph" w:customStyle="1" w:styleId="footnoteref">
    <w:name w:val="footnoteref"/>
    <w:basedOn w:val="Normal"/>
    <w:qFormat/>
    <w:rsid w:val="00D565B2"/>
    <w:pPr>
      <w:ind w:left="180" w:hanging="180"/>
    </w:pPr>
    <w:rPr>
      <w:bCs/>
      <w:sz w:val="16"/>
      <w:vertAlign w:val="superscript"/>
    </w:rPr>
  </w:style>
  <w:style w:type="paragraph" w:styleId="Header">
    <w:name w:val="header"/>
    <w:basedOn w:val="Normal"/>
    <w:link w:val="HeaderChar"/>
    <w:uiPriority w:val="99"/>
    <w:rsid w:val="00D565B2"/>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D565B2"/>
    <w:rPr>
      <w:rFonts w:ascii="Segoe UI Semilight" w:hAnsi="Segoe UI Semilight"/>
      <w:color w:val="404040" w:themeColor="text1" w:themeTint="BF"/>
      <w:w w:val="90"/>
      <w:sz w:val="18"/>
    </w:rPr>
  </w:style>
  <w:style w:type="paragraph" w:customStyle="1" w:styleId="Impactdescription">
    <w:name w:val="Impact description"/>
    <w:basedOn w:val="BodyText"/>
    <w:link w:val="ImpactdescriptionChar"/>
    <w:rsid w:val="00D565B2"/>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D565B2"/>
  </w:style>
  <w:style w:type="paragraph" w:customStyle="1" w:styleId="Mitigationtext">
    <w:name w:val="Mitigation text"/>
    <w:basedOn w:val="BodyText"/>
    <w:link w:val="MitigationtextChar"/>
    <w:qFormat/>
    <w:rsid w:val="00D565B2"/>
    <w:pPr>
      <w:spacing w:before="60"/>
    </w:pPr>
    <w:rPr>
      <w:spacing w:val="-2"/>
    </w:rPr>
  </w:style>
  <w:style w:type="paragraph" w:customStyle="1" w:styleId="Mitigationtitle">
    <w:name w:val="Mitigation title"/>
    <w:basedOn w:val="Heading5"/>
    <w:link w:val="MitigationtitleChar"/>
    <w:rsid w:val="00D565B2"/>
    <w:rPr>
      <w:rFonts w:ascii="Segoe UI Semilight" w:eastAsia="Calibri" w:hAnsi="Segoe UI Semilight"/>
      <w:b/>
      <w:w w:val="90"/>
      <w:sz w:val="22"/>
    </w:rPr>
  </w:style>
  <w:style w:type="paragraph" w:customStyle="1" w:styleId="TableRow">
    <w:name w:val="TableRow"/>
    <w:basedOn w:val="Normal"/>
    <w:qFormat/>
    <w:rsid w:val="00D565B2"/>
    <w:rPr>
      <w:b/>
      <w:bCs/>
      <w:sz w:val="18"/>
    </w:rPr>
  </w:style>
  <w:style w:type="paragraph" w:customStyle="1" w:styleId="TableSource">
    <w:name w:val="TableSource"/>
    <w:basedOn w:val="Normal"/>
    <w:qFormat/>
    <w:rsid w:val="00D565B2"/>
    <w:pPr>
      <w:spacing w:after="120"/>
    </w:pPr>
    <w:rPr>
      <w:bCs/>
      <w:color w:val="262626" w:themeColor="text1" w:themeTint="D9"/>
      <w:sz w:val="16"/>
    </w:rPr>
  </w:style>
  <w:style w:type="paragraph" w:customStyle="1" w:styleId="TableTextL">
    <w:name w:val="TableTextL"/>
    <w:basedOn w:val="TableText"/>
    <w:qFormat/>
    <w:rsid w:val="00D565B2"/>
    <w:pPr>
      <w:jc w:val="left"/>
    </w:pPr>
  </w:style>
  <w:style w:type="character" w:styleId="Hyperlink">
    <w:name w:val="Hyperlink"/>
    <w:basedOn w:val="DefaultParagraphFont"/>
    <w:uiPriority w:val="99"/>
    <w:unhideWhenUsed/>
    <w:rsid w:val="00D565B2"/>
    <w:rPr>
      <w:color w:val="auto"/>
      <w:u w:val="none"/>
    </w:rPr>
  </w:style>
  <w:style w:type="paragraph" w:styleId="TOC1">
    <w:name w:val="toc 1"/>
    <w:basedOn w:val="Normal"/>
    <w:next w:val="Normal"/>
    <w:autoRedefine/>
    <w:uiPriority w:val="39"/>
    <w:unhideWhenUsed/>
    <w:rsid w:val="00D565B2"/>
    <w:pPr>
      <w:tabs>
        <w:tab w:val="left" w:pos="720"/>
        <w:tab w:val="right" w:leader="dot" w:pos="10080"/>
      </w:tabs>
      <w:spacing w:before="240"/>
      <w:ind w:right="720"/>
    </w:pPr>
    <w:rPr>
      <w:b/>
      <w:caps/>
    </w:rPr>
  </w:style>
  <w:style w:type="paragraph" w:styleId="TOC3">
    <w:name w:val="toc 3"/>
    <w:basedOn w:val="Normal"/>
    <w:next w:val="Normal"/>
    <w:autoRedefine/>
    <w:uiPriority w:val="39"/>
    <w:unhideWhenUsed/>
    <w:rsid w:val="00D565B2"/>
    <w:pPr>
      <w:tabs>
        <w:tab w:val="right" w:leader="dot" w:pos="10080"/>
      </w:tabs>
      <w:ind w:left="2160" w:right="720" w:hanging="720"/>
    </w:pPr>
  </w:style>
  <w:style w:type="paragraph" w:styleId="TOC4">
    <w:name w:val="toc 4"/>
    <w:basedOn w:val="Normal"/>
    <w:next w:val="Normal"/>
    <w:autoRedefine/>
    <w:uiPriority w:val="39"/>
    <w:rsid w:val="00D565B2"/>
    <w:pPr>
      <w:tabs>
        <w:tab w:val="right" w:leader="dot" w:pos="10080"/>
      </w:tabs>
      <w:spacing w:after="100"/>
      <w:ind w:left="1440" w:right="720" w:hanging="1440"/>
    </w:pPr>
  </w:style>
  <w:style w:type="character" w:customStyle="1" w:styleId="ImpactNoChar">
    <w:name w:val="Impact_No. Char"/>
    <w:basedOn w:val="BodyTextChar"/>
    <w:link w:val="ImpactNo"/>
    <w:rsid w:val="00D565B2"/>
    <w:rPr>
      <w:rFonts w:ascii="Trebuchet MS" w:hAnsi="Trebuchet MS"/>
      <w:sz w:val="24"/>
      <w:szCs w:val="26"/>
    </w:rPr>
  </w:style>
  <w:style w:type="paragraph" w:styleId="Revision">
    <w:name w:val="Revision"/>
    <w:hidden/>
    <w:uiPriority w:val="99"/>
    <w:semiHidden/>
    <w:rsid w:val="00C548A1"/>
    <w:pPr>
      <w:spacing w:after="0" w:line="240" w:lineRule="auto"/>
    </w:pPr>
    <w:rPr>
      <w:rFonts w:eastAsia="Times New Roman"/>
    </w:rPr>
  </w:style>
  <w:style w:type="character" w:customStyle="1" w:styleId="MitigationtextChar">
    <w:name w:val="Mitigation text Char"/>
    <w:basedOn w:val="DefaultParagraphFont"/>
    <w:link w:val="Mitigationtext"/>
    <w:rsid w:val="0041500D"/>
    <w:rPr>
      <w:rFonts w:ascii="Segoe UI Semilight" w:hAnsi="Segoe UI Semilight"/>
      <w:spacing w:val="-2"/>
      <w:sz w:val="20"/>
    </w:rPr>
  </w:style>
  <w:style w:type="paragraph" w:customStyle="1" w:styleId="FooterLandscape">
    <w:name w:val="Footer_Landscape"/>
    <w:basedOn w:val="Footer"/>
    <w:qFormat/>
    <w:rsid w:val="00D565B2"/>
    <w:pPr>
      <w:tabs>
        <w:tab w:val="clear" w:pos="10080"/>
        <w:tab w:val="right" w:pos="13680"/>
      </w:tabs>
    </w:pPr>
  </w:style>
  <w:style w:type="paragraph" w:customStyle="1" w:styleId="HeaderLandscape">
    <w:name w:val="Header_Landscape"/>
    <w:basedOn w:val="Header"/>
    <w:qFormat/>
    <w:rsid w:val="00D565B2"/>
    <w:pPr>
      <w:tabs>
        <w:tab w:val="clear" w:pos="5040"/>
        <w:tab w:val="clear" w:pos="10080"/>
        <w:tab w:val="center" w:pos="6840"/>
        <w:tab w:val="right" w:pos="13680"/>
      </w:tabs>
    </w:pPr>
  </w:style>
  <w:style w:type="paragraph" w:styleId="TOC5">
    <w:name w:val="toc 5"/>
    <w:basedOn w:val="Normal"/>
    <w:next w:val="Normal"/>
    <w:autoRedefine/>
    <w:uiPriority w:val="39"/>
    <w:rsid w:val="00D565B2"/>
    <w:pPr>
      <w:tabs>
        <w:tab w:val="right" w:leader="dot" w:pos="10080"/>
      </w:tabs>
      <w:spacing w:after="100"/>
      <w:ind w:left="720" w:hanging="720"/>
    </w:pPr>
  </w:style>
  <w:style w:type="character" w:customStyle="1" w:styleId="ImpactdescriptionChar">
    <w:name w:val="Impact description Char"/>
    <w:basedOn w:val="DefaultParagraphFont"/>
    <w:link w:val="Impactdescription"/>
    <w:rsid w:val="00D565B2"/>
    <w:rPr>
      <w:rFonts w:ascii="Segoe UI Semilight" w:hAnsi="Segoe UI Semilight"/>
      <w:sz w:val="20"/>
    </w:rPr>
  </w:style>
  <w:style w:type="paragraph" w:customStyle="1" w:styleId="MMBullet2">
    <w:name w:val="MM Bullet 2"/>
    <w:basedOn w:val="Bullet2"/>
    <w:qFormat/>
    <w:rsid w:val="00D565B2"/>
    <w:pPr>
      <w:numPr>
        <w:numId w:val="10"/>
      </w:numPr>
    </w:pPr>
  </w:style>
  <w:style w:type="paragraph" w:customStyle="1" w:styleId="MMBullet1">
    <w:name w:val="MM Bullet 1"/>
    <w:basedOn w:val="Mitigationtext"/>
    <w:qFormat/>
    <w:rsid w:val="00D565B2"/>
    <w:pPr>
      <w:numPr>
        <w:numId w:val="6"/>
      </w:numPr>
      <w:spacing w:before="0"/>
    </w:pPr>
  </w:style>
  <w:style w:type="paragraph" w:customStyle="1" w:styleId="TableColumn">
    <w:name w:val="TableColumn"/>
    <w:basedOn w:val="BodyText"/>
    <w:qFormat/>
    <w:rsid w:val="00D565B2"/>
    <w:pPr>
      <w:spacing w:after="0"/>
      <w:jc w:val="center"/>
    </w:pPr>
    <w:rPr>
      <w:b/>
      <w:spacing w:val="-4"/>
      <w:w w:val="95"/>
      <w:sz w:val="18"/>
    </w:rPr>
  </w:style>
  <w:style w:type="paragraph" w:customStyle="1" w:styleId="TableBullet1">
    <w:name w:val="Table Bullet 1"/>
    <w:basedOn w:val="Normal"/>
    <w:qFormat/>
    <w:rsid w:val="00D565B2"/>
    <w:pPr>
      <w:numPr>
        <w:numId w:val="5"/>
      </w:numPr>
      <w:spacing w:after="60"/>
      <w:ind w:left="216" w:hanging="216"/>
    </w:pPr>
    <w:rPr>
      <w:bCs/>
      <w:w w:val="90"/>
      <w:sz w:val="18"/>
    </w:rPr>
  </w:style>
  <w:style w:type="paragraph" w:customStyle="1" w:styleId="TableHeader">
    <w:name w:val="TableHeader"/>
    <w:basedOn w:val="Normal"/>
    <w:qFormat/>
    <w:rsid w:val="00D565B2"/>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D565B2"/>
    <w:pPr>
      <w:spacing w:line="240" w:lineRule="exact"/>
      <w:jc w:val="center"/>
    </w:pPr>
    <w:rPr>
      <w:w w:val="90"/>
      <w:sz w:val="18"/>
      <w:szCs w:val="20"/>
    </w:rPr>
  </w:style>
  <w:style w:type="paragraph" w:customStyle="1" w:styleId="TableBullet2">
    <w:name w:val="Table Bullet 2"/>
    <w:basedOn w:val="TableBullet1"/>
    <w:qFormat/>
    <w:rsid w:val="00C94E59"/>
    <w:pPr>
      <w:numPr>
        <w:numId w:val="7"/>
      </w:numPr>
      <w:ind w:left="432" w:hanging="216"/>
    </w:pPr>
  </w:style>
  <w:style w:type="paragraph" w:customStyle="1" w:styleId="MMBullet3">
    <w:name w:val="MM Bullet 3"/>
    <w:basedOn w:val="BodyText"/>
    <w:qFormat/>
    <w:rsid w:val="00D565B2"/>
    <w:pPr>
      <w:numPr>
        <w:numId w:val="8"/>
      </w:numPr>
    </w:pPr>
  </w:style>
  <w:style w:type="paragraph" w:customStyle="1" w:styleId="TableBullet3">
    <w:name w:val="Table Bullet 3"/>
    <w:basedOn w:val="TableTextL"/>
    <w:qFormat/>
    <w:rsid w:val="00037B64"/>
    <w:pPr>
      <w:numPr>
        <w:ilvl w:val="1"/>
        <w:numId w:val="9"/>
      </w:numPr>
      <w:spacing w:after="60"/>
      <w:ind w:left="758"/>
    </w:pPr>
  </w:style>
  <w:style w:type="paragraph" w:customStyle="1" w:styleId="TOCHEAD">
    <w:name w:val="TOCHEAD"/>
    <w:basedOn w:val="Heading1"/>
    <w:qFormat/>
    <w:rsid w:val="00D565B2"/>
    <w:pPr>
      <w:numPr>
        <w:numId w:val="0"/>
      </w:numPr>
    </w:pPr>
  </w:style>
  <w:style w:type="paragraph" w:customStyle="1" w:styleId="Header11x17">
    <w:name w:val="Header_11x17"/>
    <w:basedOn w:val="Header"/>
    <w:qFormat/>
    <w:rsid w:val="00D565B2"/>
    <w:pPr>
      <w:tabs>
        <w:tab w:val="clear" w:pos="5040"/>
        <w:tab w:val="clear" w:pos="10080"/>
        <w:tab w:val="center" w:pos="11160"/>
        <w:tab w:val="right" w:pos="22320"/>
      </w:tabs>
    </w:pPr>
  </w:style>
  <w:style w:type="paragraph" w:customStyle="1" w:styleId="Footer11x17">
    <w:name w:val="Footer_11x17"/>
    <w:basedOn w:val="Footer"/>
    <w:qFormat/>
    <w:rsid w:val="00D565B2"/>
    <w:pPr>
      <w:tabs>
        <w:tab w:val="clear" w:pos="10080"/>
        <w:tab w:val="right" w:pos="22320"/>
      </w:tabs>
    </w:pPr>
  </w:style>
  <w:style w:type="paragraph" w:customStyle="1" w:styleId="BodyText12ptbefore">
    <w:name w:val="Body Text_12pt before"/>
    <w:basedOn w:val="BodyText"/>
    <w:qFormat/>
    <w:rsid w:val="00D565B2"/>
    <w:pPr>
      <w:spacing w:before="240"/>
    </w:pPr>
  </w:style>
  <w:style w:type="character" w:customStyle="1" w:styleId="PhotoChartChar">
    <w:name w:val="Photo/Chart Char"/>
    <w:basedOn w:val="DefaultParagraphFont"/>
    <w:link w:val="PhotoChart"/>
    <w:rsid w:val="00D565B2"/>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D565B2"/>
    <w:pPr>
      <w:keepNext/>
      <w:spacing w:after="50"/>
      <w:jc w:val="center"/>
    </w:pPr>
    <w:rPr>
      <w:rFonts w:cs="Segoe UI Semilight"/>
      <w:noProof/>
    </w:rPr>
  </w:style>
  <w:style w:type="paragraph" w:customStyle="1" w:styleId="PhotoChartDescriptionDoubleLine">
    <w:name w:val="Photo/Chart Description Double Line"/>
    <w:basedOn w:val="Normal"/>
    <w:link w:val="PhotoChartDescriptionDoubleLineChar"/>
    <w:rsid w:val="00D565B2"/>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D565B2"/>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D565B2"/>
    <w:pPr>
      <w:spacing w:after="600"/>
    </w:pPr>
  </w:style>
  <w:style w:type="paragraph" w:customStyle="1" w:styleId="PhotoChartPortraitDoubleLine">
    <w:name w:val="Photo/Chart Portrait Double Line"/>
    <w:basedOn w:val="Normal"/>
    <w:qFormat/>
    <w:rsid w:val="00D565B2"/>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D565B2"/>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D565B2"/>
    <w:pPr>
      <w:ind w:left="1683"/>
    </w:pPr>
  </w:style>
  <w:style w:type="paragraph" w:customStyle="1" w:styleId="Figure">
    <w:name w:val="Figure"/>
    <w:basedOn w:val="Normal"/>
    <w:qFormat/>
    <w:rsid w:val="00D565B2"/>
    <w:pPr>
      <w:keepNext/>
      <w:jc w:val="center"/>
    </w:pPr>
  </w:style>
  <w:style w:type="paragraph" w:customStyle="1" w:styleId="FigureSource">
    <w:name w:val="FigureSource"/>
    <w:basedOn w:val="Normal"/>
    <w:qFormat/>
    <w:rsid w:val="00D565B2"/>
    <w:pPr>
      <w:keepNext/>
      <w:spacing w:after="120"/>
    </w:pPr>
    <w:rPr>
      <w:sz w:val="16"/>
    </w:rPr>
  </w:style>
  <w:style w:type="paragraph" w:customStyle="1" w:styleId="FigureTitle">
    <w:name w:val="FigureTitle"/>
    <w:basedOn w:val="Normal"/>
    <w:qFormat/>
    <w:rsid w:val="00D565B2"/>
    <w:pPr>
      <w:spacing w:before="360"/>
    </w:pPr>
    <w:rPr>
      <w:b/>
    </w:rPr>
  </w:style>
  <w:style w:type="character" w:customStyle="1" w:styleId="Bullet1Char">
    <w:name w:val="Bullet 1 Char"/>
    <w:basedOn w:val="DefaultParagraphFont"/>
    <w:link w:val="Bullet1"/>
    <w:locked/>
    <w:rsid w:val="00040702"/>
    <w:rPr>
      <w:rFonts w:ascii="Segoe UI Semilight" w:hAnsi="Segoe UI Semilight"/>
      <w:bCs/>
      <w:sz w:val="20"/>
    </w:rPr>
  </w:style>
  <w:style w:type="paragraph" w:styleId="ListBullet">
    <w:name w:val="List Bullet"/>
    <w:basedOn w:val="Normal"/>
    <w:uiPriority w:val="99"/>
    <w:unhideWhenUsed/>
    <w:rsid w:val="00191EEB"/>
    <w:pPr>
      <w:tabs>
        <w:tab w:val="num" w:pos="360"/>
      </w:tabs>
      <w:ind w:left="360" w:hanging="360"/>
      <w:contextualSpacing/>
    </w:pPr>
  </w:style>
  <w:style w:type="paragraph" w:styleId="BalloonText">
    <w:name w:val="Balloon Text"/>
    <w:basedOn w:val="Normal"/>
    <w:link w:val="BalloonTextChar"/>
    <w:uiPriority w:val="99"/>
    <w:semiHidden/>
    <w:unhideWhenUsed/>
    <w:rsid w:val="00D565B2"/>
    <w:rPr>
      <w:rFonts w:ascii="Tahoma" w:hAnsi="Tahoma" w:cs="Tahoma"/>
      <w:sz w:val="16"/>
      <w:szCs w:val="16"/>
    </w:rPr>
  </w:style>
  <w:style w:type="character" w:customStyle="1" w:styleId="BalloonTextChar">
    <w:name w:val="Balloon Text Char"/>
    <w:basedOn w:val="DefaultParagraphFont"/>
    <w:link w:val="BalloonText"/>
    <w:uiPriority w:val="99"/>
    <w:semiHidden/>
    <w:rsid w:val="00D565B2"/>
    <w:rPr>
      <w:rFonts w:ascii="Tahoma" w:hAnsi="Tahoma" w:cs="Tahoma"/>
      <w:sz w:val="16"/>
      <w:szCs w:val="16"/>
    </w:rPr>
  </w:style>
  <w:style w:type="character" w:customStyle="1" w:styleId="MitigationtitleChar">
    <w:name w:val="Mitigation title Char"/>
    <w:basedOn w:val="DefaultParagraphFont"/>
    <w:link w:val="Mitigationtitle"/>
    <w:rsid w:val="001F7DBC"/>
    <w:rPr>
      <w:rFonts w:ascii="Segoe UI Semilight" w:eastAsia="Calibri" w:hAnsi="Segoe UI Semilight"/>
      <w:b/>
      <w:w w:val="90"/>
      <w:szCs w:val="26"/>
    </w:rPr>
  </w:style>
  <w:style w:type="table" w:styleId="LightShading">
    <w:name w:val="Light Shading"/>
    <w:basedOn w:val="TableNormal"/>
    <w:uiPriority w:val="60"/>
    <w:rsid w:val="00D565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56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D565B2"/>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ppendixLetter">
    <w:name w:val="AppendixLetter"/>
    <w:basedOn w:val="Normal"/>
    <w:qFormat/>
    <w:rsid w:val="00D565B2"/>
    <w:pPr>
      <w:pBdr>
        <w:bottom w:val="single" w:sz="24" w:space="1" w:color="auto"/>
      </w:pBdr>
      <w:spacing w:before="5040" w:after="200" w:line="276" w:lineRule="auto"/>
      <w:jc w:val="center"/>
    </w:pPr>
    <w:rPr>
      <w:rFonts w:ascii="Franklin Gothic Medium" w:hAnsi="Franklin Gothic Medium"/>
      <w:b/>
      <w:sz w:val="96"/>
      <w:szCs w:val="72"/>
    </w:rPr>
  </w:style>
  <w:style w:type="paragraph" w:customStyle="1" w:styleId="AppendixTitle">
    <w:name w:val="AppendixTitle"/>
    <w:basedOn w:val="Normal"/>
    <w:qFormat/>
    <w:rsid w:val="00D565B2"/>
    <w:pPr>
      <w:spacing w:after="200" w:line="276" w:lineRule="auto"/>
      <w:jc w:val="center"/>
    </w:pPr>
    <w:rPr>
      <w:rFonts w:ascii="Franklin Gothic Medium" w:hAnsi="Franklin Gothic Medium"/>
      <w:sz w:val="56"/>
      <w:szCs w:val="72"/>
    </w:rPr>
  </w:style>
  <w:style w:type="paragraph" w:customStyle="1" w:styleId="TitleAddress">
    <w:name w:val="Title_Address"/>
    <w:basedOn w:val="Normal"/>
    <w:qFormat/>
    <w:rsid w:val="00D565B2"/>
    <w:pPr>
      <w:spacing w:after="200" w:line="276" w:lineRule="auto"/>
      <w:jc w:val="center"/>
    </w:pPr>
    <w:rPr>
      <w:sz w:val="24"/>
      <w:szCs w:val="28"/>
    </w:rPr>
  </w:style>
  <w:style w:type="paragraph" w:customStyle="1" w:styleId="TitleDate">
    <w:name w:val="Title_Date"/>
    <w:basedOn w:val="Normal"/>
    <w:qFormat/>
    <w:rsid w:val="00D565B2"/>
    <w:pPr>
      <w:spacing w:before="2640" w:after="200" w:line="276" w:lineRule="auto"/>
      <w:jc w:val="center"/>
    </w:pPr>
    <w:rPr>
      <w:rFonts w:ascii="Trebuchet MS" w:hAnsi="Trebuchet MS"/>
      <w:sz w:val="32"/>
      <w:szCs w:val="28"/>
    </w:rPr>
  </w:style>
  <w:style w:type="paragraph" w:customStyle="1" w:styleId="TitlePN">
    <w:name w:val="Title_PN"/>
    <w:basedOn w:val="Normal"/>
    <w:qFormat/>
    <w:rsid w:val="00D565B2"/>
    <w:rPr>
      <w:rFonts w:ascii="Trebuchet MS" w:hAnsi="Trebuchet MS"/>
      <w:sz w:val="16"/>
      <w:szCs w:val="16"/>
    </w:rPr>
  </w:style>
  <w:style w:type="paragraph" w:customStyle="1" w:styleId="TitlePreparedFor">
    <w:name w:val="Title_PreparedFor"/>
    <w:basedOn w:val="Normal"/>
    <w:qFormat/>
    <w:rsid w:val="00D565B2"/>
    <w:pPr>
      <w:spacing w:before="1440" w:after="200" w:line="276" w:lineRule="auto"/>
      <w:jc w:val="center"/>
    </w:pPr>
    <w:rPr>
      <w:rFonts w:ascii="Trebuchet MS" w:hAnsi="Trebuchet MS"/>
      <w:sz w:val="24"/>
      <w:szCs w:val="32"/>
    </w:rPr>
  </w:style>
  <w:style w:type="paragraph" w:customStyle="1" w:styleId="TitleReportClientName">
    <w:name w:val="Title_ReportClientName"/>
    <w:basedOn w:val="Normal"/>
    <w:qFormat/>
    <w:rsid w:val="00D565B2"/>
    <w:pPr>
      <w:spacing w:after="200" w:line="276" w:lineRule="auto"/>
      <w:jc w:val="center"/>
    </w:pPr>
    <w:rPr>
      <w:rFonts w:ascii="Trebuchet MS" w:hAnsi="Trebuchet MS"/>
      <w:sz w:val="28"/>
      <w:szCs w:val="24"/>
    </w:rPr>
  </w:style>
  <w:style w:type="paragraph" w:customStyle="1" w:styleId="TitleReportTitle">
    <w:name w:val="Title_ReportTitle"/>
    <w:basedOn w:val="Normal"/>
    <w:qFormat/>
    <w:rsid w:val="00D565B2"/>
    <w:pPr>
      <w:spacing w:before="1440" w:after="120" w:line="560" w:lineRule="exact"/>
      <w:jc w:val="center"/>
    </w:pPr>
    <w:rPr>
      <w:rFonts w:ascii="Trebuchet MS" w:hAnsi="Trebuchet MS"/>
      <w:sz w:val="40"/>
      <w:szCs w:val="36"/>
    </w:rPr>
  </w:style>
  <w:style w:type="paragraph" w:customStyle="1" w:styleId="Exhibit">
    <w:name w:val="Exhibit"/>
    <w:basedOn w:val="Normal"/>
    <w:qFormat/>
    <w:rsid w:val="00D565B2"/>
    <w:pPr>
      <w:keepNext/>
      <w:jc w:val="center"/>
    </w:pPr>
  </w:style>
  <w:style w:type="paragraph" w:customStyle="1" w:styleId="ExhibitSource">
    <w:name w:val="ExhibitSource"/>
    <w:basedOn w:val="Normal"/>
    <w:qFormat/>
    <w:rsid w:val="00D565B2"/>
    <w:pPr>
      <w:keepNext/>
      <w:spacing w:after="120"/>
    </w:pPr>
    <w:rPr>
      <w:sz w:val="16"/>
    </w:rPr>
  </w:style>
  <w:style w:type="paragraph" w:customStyle="1" w:styleId="ExhibitTitle">
    <w:name w:val="ExhibitTitle"/>
    <w:basedOn w:val="Normal"/>
    <w:qFormat/>
    <w:rsid w:val="00D565B2"/>
    <w:pPr>
      <w:spacing w:before="360"/>
    </w:pPr>
    <w:rPr>
      <w:b/>
    </w:rPr>
  </w:style>
  <w:style w:type="paragraph" w:styleId="Caption">
    <w:name w:val="caption"/>
    <w:basedOn w:val="Normal"/>
    <w:next w:val="Normal"/>
    <w:uiPriority w:val="35"/>
    <w:unhideWhenUsed/>
    <w:qFormat/>
    <w:rsid w:val="00D565B2"/>
    <w:pPr>
      <w:keepNext/>
      <w:spacing w:before="240" w:after="120"/>
      <w:ind w:left="1440" w:hanging="1440"/>
    </w:pPr>
    <w:rPr>
      <w:rFonts w:ascii="Franklin Gothic Demi Cond" w:hAnsi="Franklin Gothic Demi Cond"/>
      <w:iCs/>
      <w:szCs w:val="18"/>
    </w:rPr>
  </w:style>
  <w:style w:type="table" w:styleId="TableGridLight">
    <w:name w:val="Grid Table Light"/>
    <w:basedOn w:val="TableNormal"/>
    <w:uiPriority w:val="40"/>
    <w:rsid w:val="00D565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ReportType">
    <w:name w:val="Cover_Report Type"/>
    <w:basedOn w:val="Normal"/>
    <w:qFormat/>
    <w:rsid w:val="00D565B2"/>
    <w:pPr>
      <w:spacing w:before="3360"/>
      <w:ind w:left="-360"/>
    </w:pPr>
    <w:rPr>
      <w:rFonts w:ascii="Trebuchet MS" w:hAnsi="Trebuchet MS"/>
      <w:color w:val="FFFFFF" w:themeColor="background1"/>
      <w:sz w:val="48"/>
    </w:rPr>
  </w:style>
  <w:style w:type="paragraph" w:customStyle="1" w:styleId="CoverProjectName">
    <w:name w:val="Cover_Project Name"/>
    <w:basedOn w:val="BodyText"/>
    <w:qFormat/>
    <w:rsid w:val="00D565B2"/>
    <w:pPr>
      <w:spacing w:before="120"/>
      <w:ind w:left="-360"/>
    </w:pPr>
    <w:rPr>
      <w:rFonts w:ascii="Trebuchet MS" w:hAnsi="Trebuchet MS"/>
      <w:color w:val="FFFFFF" w:themeColor="background1"/>
      <w:sz w:val="40"/>
    </w:rPr>
  </w:style>
  <w:style w:type="paragraph" w:customStyle="1" w:styleId="CoverClientAddr">
    <w:name w:val="Cover_Client Addr"/>
    <w:basedOn w:val="Normal"/>
    <w:qFormat/>
    <w:rsid w:val="00D565B2"/>
    <w:pPr>
      <w:spacing w:before="5520"/>
      <w:jc w:val="right"/>
    </w:pPr>
    <w:rPr>
      <w:rFonts w:ascii="Trebuchet MS" w:hAnsi="Trebuchet MS"/>
      <w:color w:val="FFFFFF" w:themeColor="background1"/>
      <w:sz w:val="22"/>
    </w:rPr>
  </w:style>
  <w:style w:type="paragraph" w:customStyle="1" w:styleId="CoverDate">
    <w:name w:val="Cover_Date"/>
    <w:basedOn w:val="Normal"/>
    <w:qFormat/>
    <w:rsid w:val="00D565B2"/>
    <w:pPr>
      <w:spacing w:before="1320"/>
      <w:jc w:val="right"/>
    </w:pPr>
    <w:rPr>
      <w:rFonts w:ascii="Trebuchet MS" w:hAnsi="Trebuchet MS"/>
      <w:color w:val="FFFFFF" w:themeColor="background1"/>
      <w:sz w:val="32"/>
      <w:szCs w:val="32"/>
    </w:rPr>
  </w:style>
  <w:style w:type="paragraph" w:styleId="FootnoteText">
    <w:name w:val="footnote text"/>
    <w:basedOn w:val="Normal"/>
    <w:link w:val="FootnoteTextChar"/>
    <w:uiPriority w:val="99"/>
    <w:semiHidden/>
    <w:unhideWhenUsed/>
    <w:rsid w:val="00841AD9"/>
    <w:rPr>
      <w:szCs w:val="20"/>
    </w:rPr>
  </w:style>
  <w:style w:type="character" w:customStyle="1" w:styleId="FootnoteTextChar">
    <w:name w:val="Footnote Text Char"/>
    <w:basedOn w:val="DefaultParagraphFont"/>
    <w:link w:val="FootnoteText"/>
    <w:uiPriority w:val="99"/>
    <w:semiHidden/>
    <w:rsid w:val="00841AD9"/>
    <w:rPr>
      <w:rFonts w:ascii="Segoe UI Semilight" w:hAnsi="Segoe UI Semilight"/>
      <w:sz w:val="20"/>
      <w:szCs w:val="20"/>
    </w:rPr>
  </w:style>
  <w:style w:type="character" w:styleId="FootnoteReference">
    <w:name w:val="footnote reference"/>
    <w:basedOn w:val="DefaultParagraphFont"/>
    <w:uiPriority w:val="99"/>
    <w:semiHidden/>
    <w:unhideWhenUsed/>
    <w:rsid w:val="00841A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39618">
      <w:bodyDiv w:val="1"/>
      <w:marLeft w:val="0"/>
      <w:marRight w:val="0"/>
      <w:marTop w:val="0"/>
      <w:marBottom w:val="0"/>
      <w:divBdr>
        <w:top w:val="none" w:sz="0" w:space="0" w:color="auto"/>
        <w:left w:val="none" w:sz="0" w:space="0" w:color="auto"/>
        <w:bottom w:val="none" w:sz="0" w:space="0" w:color="auto"/>
        <w:right w:val="none" w:sz="0" w:space="0" w:color="auto"/>
      </w:divBdr>
    </w:div>
    <w:div w:id="349574762">
      <w:bodyDiv w:val="1"/>
      <w:marLeft w:val="0"/>
      <w:marRight w:val="0"/>
      <w:marTop w:val="0"/>
      <w:marBottom w:val="0"/>
      <w:divBdr>
        <w:top w:val="none" w:sz="0" w:space="0" w:color="auto"/>
        <w:left w:val="none" w:sz="0" w:space="0" w:color="auto"/>
        <w:bottom w:val="none" w:sz="0" w:space="0" w:color="auto"/>
        <w:right w:val="none" w:sz="0" w:space="0" w:color="auto"/>
      </w:divBdr>
    </w:div>
    <w:div w:id="350299067">
      <w:bodyDiv w:val="1"/>
      <w:marLeft w:val="0"/>
      <w:marRight w:val="0"/>
      <w:marTop w:val="0"/>
      <w:marBottom w:val="0"/>
      <w:divBdr>
        <w:top w:val="none" w:sz="0" w:space="0" w:color="auto"/>
        <w:left w:val="none" w:sz="0" w:space="0" w:color="auto"/>
        <w:bottom w:val="none" w:sz="0" w:space="0" w:color="auto"/>
        <w:right w:val="none" w:sz="0" w:space="0" w:color="auto"/>
      </w:divBdr>
    </w:div>
    <w:div w:id="522549143">
      <w:bodyDiv w:val="1"/>
      <w:marLeft w:val="0"/>
      <w:marRight w:val="0"/>
      <w:marTop w:val="0"/>
      <w:marBottom w:val="0"/>
      <w:divBdr>
        <w:top w:val="none" w:sz="0" w:space="0" w:color="auto"/>
        <w:left w:val="none" w:sz="0" w:space="0" w:color="auto"/>
        <w:bottom w:val="none" w:sz="0" w:space="0" w:color="auto"/>
        <w:right w:val="none" w:sz="0" w:space="0" w:color="auto"/>
      </w:divBdr>
    </w:div>
    <w:div w:id="1444498218">
      <w:bodyDiv w:val="1"/>
      <w:marLeft w:val="0"/>
      <w:marRight w:val="0"/>
      <w:marTop w:val="0"/>
      <w:marBottom w:val="0"/>
      <w:divBdr>
        <w:top w:val="none" w:sz="0" w:space="0" w:color="auto"/>
        <w:left w:val="none" w:sz="0" w:space="0" w:color="auto"/>
        <w:bottom w:val="none" w:sz="0" w:space="0" w:color="auto"/>
        <w:right w:val="none" w:sz="0" w:space="0" w:color="auto"/>
      </w:divBdr>
    </w:div>
    <w:div w:id="155963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envirostor.dtsc.ca.gov/public/"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87F06-006E-4C91-9B51-B9755B1C1564}">
  <ds:schemaRefs>
    <ds:schemaRef ds:uri="http://schemas.openxmlformats.org/officeDocument/2006/bibliography"/>
  </ds:schemaRefs>
</ds:datastoreItem>
</file>

<file path=customXml/itemProps2.xml><?xml version="1.0" encoding="utf-8"?>
<ds:datastoreItem xmlns:ds="http://schemas.openxmlformats.org/officeDocument/2006/customXml" ds:itemID="{DB790C6C-D49B-41AC-96D7-4D860CF6CAFB}">
  <ds:schemaRefs>
    <ds:schemaRef ds:uri="http://schemas.openxmlformats.org/officeDocument/2006/bibliography"/>
  </ds:schemaRefs>
</ds:datastoreItem>
</file>

<file path=customXml/itemProps3.xml><?xml version="1.0" encoding="utf-8"?>
<ds:datastoreItem xmlns:ds="http://schemas.openxmlformats.org/officeDocument/2006/customXml" ds:itemID="{10DFAD07-B52A-4034-8477-4B610214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23489</Words>
  <Characters>133889</Characters>
  <Application>Microsoft Office Word</Application>
  <DocSecurity>8</DocSecurity>
  <Lines>1115</Lines>
  <Paragraphs>314</Paragraphs>
  <ScaleCrop>false</ScaleCrop>
  <HeadingPairs>
    <vt:vector size="2" baseType="variant">
      <vt:variant>
        <vt:lpstr>Title</vt:lpstr>
      </vt:variant>
      <vt:variant>
        <vt:i4>1</vt:i4>
      </vt:variant>
    </vt:vector>
  </HeadingPairs>
  <TitlesOfParts>
    <vt:vector size="1" baseType="lpstr">
      <vt:lpstr>Final Program Environmental Impact Report for the California Vegetation Treatment Program</vt:lpstr>
    </vt:vector>
  </TitlesOfParts>
  <Company>California Board of Forestry and Fire Protection</Company>
  <LinksUpToDate>false</LinksUpToDate>
  <CharactersWithSpaces>157064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Program Environmental Impact Report for the California Vegetation Treatment Program</dc:title>
  <dc:subject>Final Program Environmental Impact Report for the California Vegetation Treatment Program</dc:subject>
  <dc:creator>California Board of Forestry and Fire Protection</dc:creator>
  <cp:keywords>California Vegetation Treatment Program, CAL FIRE, Board of Forestry, VTP</cp:keywords>
  <dc:description/>
  <cp:lastModifiedBy>Kemp, Mazonika@BOF</cp:lastModifiedBy>
  <cp:revision>3</cp:revision>
  <dcterms:created xsi:type="dcterms:W3CDTF">2019-11-25T18:15:00Z</dcterms:created>
  <dcterms:modified xsi:type="dcterms:W3CDTF">2019-11-27T16:54:00Z</dcterms:modified>
</cp:coreProperties>
</file>